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30" w:rsidRPr="00EC56D7" w:rsidRDefault="00CF7C30" w:rsidP="00CF7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56D7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CF7C30" w:rsidRPr="00EC56D7" w:rsidRDefault="00CF7C30" w:rsidP="00CF7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56D7">
        <w:rPr>
          <w:rFonts w:ascii="Times New Roman" w:hAnsi="Times New Roman" w:cs="Times New Roman"/>
          <w:b/>
          <w:sz w:val="28"/>
          <w:szCs w:val="28"/>
          <w:lang w:val="uk-UA"/>
        </w:rPr>
        <w:t>про підсумки роботи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EC56D7">
        <w:rPr>
          <w:rFonts w:ascii="Times New Roman" w:hAnsi="Times New Roman" w:cs="Times New Roman"/>
          <w:b/>
          <w:sz w:val="28"/>
          <w:szCs w:val="28"/>
          <w:lang w:val="uk-UA"/>
        </w:rPr>
        <w:t>зі зверненнями громадян</w:t>
      </w:r>
    </w:p>
    <w:p w:rsidR="00CF7C30" w:rsidRPr="00EC56D7" w:rsidRDefault="00CF7C30" w:rsidP="00CF7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56D7">
        <w:rPr>
          <w:rFonts w:ascii="Times New Roman" w:hAnsi="Times New Roman" w:cs="Times New Roman"/>
          <w:b/>
          <w:sz w:val="28"/>
          <w:szCs w:val="28"/>
          <w:lang w:val="uk-UA"/>
        </w:rPr>
        <w:t>у І півріччі 2018 року</w:t>
      </w:r>
    </w:p>
    <w:p w:rsidR="00CF7C30" w:rsidRPr="00EC56D7" w:rsidRDefault="00CF7C30" w:rsidP="00CF7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7C30" w:rsidRPr="00EC56D7" w:rsidRDefault="00CF7C30" w:rsidP="00CF7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7C30" w:rsidRPr="00EC56D7" w:rsidRDefault="00CF7C30" w:rsidP="00CF7C3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6D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F7C30" w:rsidRPr="00EC56D7" w:rsidRDefault="00CF7C30" w:rsidP="00CF7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6D7">
        <w:rPr>
          <w:rFonts w:ascii="Times New Roman" w:hAnsi="Times New Roman" w:cs="Times New Roman"/>
          <w:sz w:val="28"/>
          <w:szCs w:val="28"/>
          <w:lang w:val="uk-UA"/>
        </w:rPr>
        <w:tab/>
        <w:t>У Сумській міській раді вживаються заходи щодо забезпечення реалізації конституційного права громадян на звернення, своєчасного і якісного розгляду їх, усунення причин, що породжують скарги.</w:t>
      </w:r>
    </w:p>
    <w:p w:rsidR="00CF7C30" w:rsidRDefault="00CF7C30" w:rsidP="00CF7C30">
      <w:pPr>
        <w:pStyle w:val="Style2"/>
        <w:widowControl/>
        <w:spacing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І півріччя</w:t>
      </w:r>
      <w:r w:rsidRPr="00EC56D7">
        <w:rPr>
          <w:sz w:val="28"/>
          <w:szCs w:val="28"/>
          <w:lang w:val="uk-UA"/>
        </w:rPr>
        <w:t xml:space="preserve"> 2018 року до Сумської міської ради надійшло 2407</w:t>
      </w:r>
      <w:r w:rsidRPr="00EC56D7">
        <w:rPr>
          <w:b/>
          <w:sz w:val="28"/>
          <w:szCs w:val="28"/>
          <w:lang w:val="uk-UA"/>
        </w:rPr>
        <w:t xml:space="preserve"> </w:t>
      </w:r>
      <w:r w:rsidRPr="00EC56D7">
        <w:rPr>
          <w:sz w:val="28"/>
          <w:szCs w:val="28"/>
          <w:lang w:val="uk-UA"/>
        </w:rPr>
        <w:t>звернень громадян, що на 15</w:t>
      </w:r>
      <w:r>
        <w:rPr>
          <w:sz w:val="28"/>
          <w:szCs w:val="28"/>
          <w:lang w:val="uk-UA"/>
        </w:rPr>
        <w:t>% більше в порівнянні</w:t>
      </w:r>
      <w:r w:rsidRPr="00EC56D7">
        <w:rPr>
          <w:sz w:val="28"/>
          <w:szCs w:val="28"/>
          <w:lang w:val="uk-UA"/>
        </w:rPr>
        <w:t xml:space="preserve"> з анал</w:t>
      </w:r>
      <w:r>
        <w:rPr>
          <w:sz w:val="28"/>
          <w:szCs w:val="28"/>
          <w:lang w:val="uk-UA"/>
        </w:rPr>
        <w:t>огічним періодом минулого року</w:t>
      </w:r>
      <w:r w:rsidRPr="00EC56D7">
        <w:rPr>
          <w:sz w:val="28"/>
          <w:szCs w:val="28"/>
          <w:lang w:val="uk-UA"/>
        </w:rPr>
        <w:t>.</w:t>
      </w:r>
    </w:p>
    <w:p w:rsidR="00CF7C30" w:rsidRPr="00EC56D7" w:rsidRDefault="00CF7C30" w:rsidP="00CF7C30">
      <w:pPr>
        <w:pStyle w:val="Style2"/>
        <w:widowControl/>
        <w:spacing w:line="240" w:lineRule="auto"/>
        <w:ind w:firstLine="709"/>
        <w:rPr>
          <w:sz w:val="28"/>
          <w:szCs w:val="28"/>
          <w:lang w:val="uk-UA"/>
        </w:rPr>
      </w:pPr>
    </w:p>
    <w:p w:rsidR="00CF7C30" w:rsidRPr="00EC56D7" w:rsidRDefault="00CF7C30" w:rsidP="00CF7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14B7">
        <w:rPr>
          <w:noProof/>
          <w:lang w:eastAsia="ru-RU"/>
        </w:rPr>
        <w:drawing>
          <wp:inline distT="0" distB="0" distL="0" distR="0" wp14:anchorId="4C6832F0" wp14:editId="54770404">
            <wp:extent cx="4457700" cy="2941320"/>
            <wp:effectExtent l="0" t="0" r="0" b="11430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F7C30" w:rsidRDefault="00CF7C30" w:rsidP="00CF7C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C56D7">
        <w:rPr>
          <w:rFonts w:ascii="Times New Roman" w:hAnsi="Times New Roman" w:cs="Times New Roman"/>
          <w:sz w:val="28"/>
          <w:szCs w:val="28"/>
          <w:lang w:val="uk-UA"/>
        </w:rPr>
        <w:t xml:space="preserve">Із загальної кількості звернень 1912 (79%) становлять письмові звернення (в </w:t>
      </w:r>
      <w:proofErr w:type="spellStart"/>
      <w:r w:rsidRPr="00EC56D7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EC56D7">
        <w:rPr>
          <w:rFonts w:ascii="Times New Roman" w:hAnsi="Times New Roman" w:cs="Times New Roman"/>
          <w:sz w:val="28"/>
          <w:szCs w:val="28"/>
          <w:lang w:val="uk-UA"/>
        </w:rPr>
        <w:t>. звернення отримані за допомогою засобів електронного зв’язку - 350), 495 (21%) – усні звернення (</w:t>
      </w:r>
      <w:r w:rsidRPr="00EC5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викладається громадянином на особистому прийомі (321) або за допомогою засобів телефонного зв’язку (174). </w:t>
      </w:r>
    </w:p>
    <w:p w:rsidR="00CF7C30" w:rsidRPr="00EC56D7" w:rsidRDefault="00CF7C30" w:rsidP="00CF7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7C30" w:rsidRPr="00EC56D7" w:rsidRDefault="00CF7C30" w:rsidP="00CF7C3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C56D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4E1FDB1" wp14:editId="1CCE7341">
            <wp:extent cx="4574540" cy="2745740"/>
            <wp:effectExtent l="0" t="0" r="16510" b="1651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F7C30" w:rsidRPr="00EC56D7" w:rsidRDefault="00CF7C30" w:rsidP="00CF7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6D7">
        <w:rPr>
          <w:rFonts w:ascii="Times New Roman" w:hAnsi="Times New Roman" w:cs="Times New Roman"/>
          <w:sz w:val="28"/>
          <w:szCs w:val="28"/>
          <w:lang w:val="uk-UA"/>
        </w:rPr>
        <w:t>Усі звернення громадян, що надійшли до Сумської міської ради у                         І півріччі 2018 року, вміщують 2449 питань. Позитивно у звітному періоді вирішено 994 питання (39%), без урахування звернень на розгляді  зазначений показник становить 51%.</w:t>
      </w:r>
    </w:p>
    <w:p w:rsidR="00CF7C30" w:rsidRDefault="00CF7C30" w:rsidP="00CF7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6D7">
        <w:rPr>
          <w:rFonts w:ascii="Times New Roman" w:hAnsi="Times New Roman" w:cs="Times New Roman"/>
          <w:sz w:val="28"/>
          <w:szCs w:val="28"/>
          <w:lang w:val="uk-UA"/>
        </w:rPr>
        <w:t>За результатами моніторингу результативності розгляду звернень громадян серед інших міст обласного значення м. Суми виглядає наступним чином.</w:t>
      </w:r>
    </w:p>
    <w:p w:rsidR="00CF7C30" w:rsidRPr="00EC56D7" w:rsidRDefault="00CF7C30" w:rsidP="00CF7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7C30" w:rsidRPr="00EC56D7" w:rsidRDefault="00CF7C30" w:rsidP="00CF7C30">
      <w:pPr>
        <w:spacing w:after="0" w:line="240" w:lineRule="auto"/>
        <w:ind w:hanging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C56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283325" wp14:editId="1C3EE491">
            <wp:extent cx="5937250" cy="2874645"/>
            <wp:effectExtent l="0" t="0" r="6350" b="1905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F7C30" w:rsidRPr="00EC56D7" w:rsidRDefault="00CF7C30" w:rsidP="00CF7C3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F7C30" w:rsidRPr="00EC56D7" w:rsidRDefault="00CF7C30" w:rsidP="00CF7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6D7">
        <w:rPr>
          <w:rFonts w:ascii="Times New Roman" w:hAnsi="Times New Roman" w:cs="Times New Roman"/>
          <w:sz w:val="28"/>
          <w:szCs w:val="28"/>
          <w:lang w:val="uk-UA"/>
        </w:rPr>
        <w:t>Показник зведеної кількості звернень громадян в розрахунку на 10 тис. населення в І півріччі 2018 року склав 90 звернень на 10 тис. населення, що є  одним з найменших показників серед задіяних у моніторингу міст.</w:t>
      </w:r>
    </w:p>
    <w:p w:rsidR="00CF7C30" w:rsidRPr="00EC56D7" w:rsidRDefault="00CF7C30" w:rsidP="00CF7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7C30" w:rsidRPr="00EC56D7" w:rsidRDefault="00CF7C30" w:rsidP="00CF7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7C30" w:rsidRPr="00EC56D7" w:rsidRDefault="00CF7C30" w:rsidP="00CF7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6D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3D34526" wp14:editId="4B109EAB">
            <wp:extent cx="5775325" cy="2745740"/>
            <wp:effectExtent l="0" t="0" r="15875" b="1651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F7C30" w:rsidRPr="00EC56D7" w:rsidRDefault="00CF7C30" w:rsidP="00CF7C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7C30" w:rsidRPr="00EC56D7" w:rsidRDefault="00CF7C30" w:rsidP="00CF7C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6D7">
        <w:rPr>
          <w:rFonts w:ascii="Times New Roman" w:hAnsi="Times New Roman" w:cs="Times New Roman"/>
          <w:sz w:val="28"/>
          <w:szCs w:val="28"/>
          <w:lang w:val="uk-UA"/>
        </w:rPr>
        <w:t>У своїх зверненнях мешканці міста порушують переважно питання комунального та дорожнього господарства, поліпшення житлових умов, соціального захисту, тощо.</w:t>
      </w:r>
    </w:p>
    <w:p w:rsidR="00CF7C30" w:rsidRPr="00EC56D7" w:rsidRDefault="00CF7C30" w:rsidP="00CF7C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7"/>
        <w:gridCol w:w="1761"/>
        <w:gridCol w:w="1744"/>
        <w:gridCol w:w="843"/>
      </w:tblGrid>
      <w:tr w:rsidR="00CF7C30" w:rsidRPr="00EC56D7" w:rsidTr="00A82CA4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30" w:rsidRPr="00EC56D7" w:rsidRDefault="00CF7C30" w:rsidP="00A8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56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питання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30" w:rsidRPr="00EC56D7" w:rsidRDefault="00CF7C30" w:rsidP="00A8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56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I півр.2017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30" w:rsidRPr="00EC56D7" w:rsidRDefault="00CF7C30" w:rsidP="00A8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56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 </w:t>
            </w:r>
            <w:proofErr w:type="spellStart"/>
            <w:r w:rsidRPr="00EC56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півр</w:t>
            </w:r>
            <w:proofErr w:type="spellEnd"/>
            <w:r w:rsidRPr="00EC56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30" w:rsidRPr="00EC56D7" w:rsidRDefault="00CF7C30" w:rsidP="00A8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56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  <w:r w:rsidRPr="00EC56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EC56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CF7C30" w:rsidRPr="00EC56D7" w:rsidTr="00A82CA4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30" w:rsidRPr="00EC56D7" w:rsidRDefault="00CF7C30" w:rsidP="00A82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6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Комунальне </w:t>
            </w:r>
            <w:r w:rsidRPr="00EC56D7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Pr="00EC56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дорожнє</w:t>
            </w:r>
            <w:r w:rsidRPr="00EC5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6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господарство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C30" w:rsidRPr="00EC56D7" w:rsidRDefault="00CF7C30" w:rsidP="00A82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6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1078 (51,9%)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C30" w:rsidRPr="00EC56D7" w:rsidRDefault="00CF7C30" w:rsidP="00A82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6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1197 (48,9%)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30" w:rsidRPr="00EC56D7" w:rsidRDefault="00CF7C30" w:rsidP="00A8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6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-3,0</w:t>
            </w:r>
          </w:p>
        </w:tc>
      </w:tr>
      <w:tr w:rsidR="00CF7C30" w:rsidRPr="00EC56D7" w:rsidTr="00A82CA4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30" w:rsidRPr="00EC56D7" w:rsidRDefault="00CF7C30" w:rsidP="00A8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6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Поліпшення житлових умов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30" w:rsidRPr="00EC56D7" w:rsidRDefault="00CF7C30" w:rsidP="00A8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6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 (5,1%)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C30" w:rsidRPr="00EC56D7" w:rsidRDefault="00CF7C30" w:rsidP="00A82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6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261 (10,7%)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30" w:rsidRPr="00EC56D7" w:rsidRDefault="00CF7C30" w:rsidP="00A8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6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+5,6</w:t>
            </w:r>
          </w:p>
        </w:tc>
      </w:tr>
      <w:tr w:rsidR="00CF7C30" w:rsidRPr="00EC56D7" w:rsidTr="00A82CA4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30" w:rsidRPr="00EC56D7" w:rsidRDefault="00CF7C30" w:rsidP="00A8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6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захист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30" w:rsidRPr="00EC56D7" w:rsidRDefault="00CF7C30" w:rsidP="00A8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6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 (5,5%)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30" w:rsidRPr="00EC56D7" w:rsidRDefault="00CF7C30" w:rsidP="00A8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6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 (7,9%)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30" w:rsidRPr="00EC56D7" w:rsidRDefault="00CF7C30" w:rsidP="00A8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6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+2,4</w:t>
            </w:r>
          </w:p>
        </w:tc>
      </w:tr>
      <w:tr w:rsidR="00CF7C30" w:rsidRPr="00EC56D7" w:rsidTr="00A82CA4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30" w:rsidRPr="00EC56D7" w:rsidRDefault="00CF7C30" w:rsidP="00A8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6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Аграрна політика і земельні відносини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30" w:rsidRPr="00EC56D7" w:rsidRDefault="00CF7C30" w:rsidP="00A8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6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(7,2%)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30" w:rsidRPr="00EC56D7" w:rsidRDefault="00CF7C30" w:rsidP="00A8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6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 (6,2%)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30" w:rsidRPr="00EC56D7" w:rsidRDefault="00CF7C30" w:rsidP="00A8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6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-1,0</w:t>
            </w:r>
          </w:p>
        </w:tc>
      </w:tr>
      <w:tr w:rsidR="00CF7C30" w:rsidRPr="00EC56D7" w:rsidTr="00A82CA4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30" w:rsidRPr="00EC56D7" w:rsidRDefault="00CF7C30" w:rsidP="00A8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6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Транспорт і зв’язок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30" w:rsidRPr="00EC56D7" w:rsidRDefault="00CF7C30" w:rsidP="00A8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6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 (8,8%)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30" w:rsidRPr="00EC56D7" w:rsidRDefault="00CF7C30" w:rsidP="00A8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6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 (6,0%)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30" w:rsidRPr="00EC56D7" w:rsidRDefault="00CF7C30" w:rsidP="00A8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6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-2,8</w:t>
            </w:r>
          </w:p>
        </w:tc>
      </w:tr>
    </w:tbl>
    <w:p w:rsidR="00CF7C30" w:rsidRPr="00EC56D7" w:rsidRDefault="00CF7C30" w:rsidP="00CF7C30">
      <w:pPr>
        <w:pStyle w:val="Style2"/>
        <w:spacing w:line="240" w:lineRule="auto"/>
        <w:ind w:firstLine="708"/>
        <w:rPr>
          <w:sz w:val="28"/>
          <w:szCs w:val="28"/>
          <w:lang w:val="uk-UA"/>
        </w:rPr>
      </w:pPr>
    </w:p>
    <w:p w:rsidR="00CF7C30" w:rsidRPr="00EC56D7" w:rsidRDefault="00CF7C30" w:rsidP="00CF7C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6D7">
        <w:rPr>
          <w:rFonts w:ascii="Times New Roman" w:hAnsi="Times New Roman" w:cs="Times New Roman"/>
          <w:sz w:val="28"/>
          <w:szCs w:val="28"/>
          <w:lang w:val="uk-UA"/>
        </w:rPr>
        <w:t xml:space="preserve">Найбільшу частку в структурі питань, з якими звертались громадяни в                І півріччі 2018 року, як і впродовж останніх років, займають питання комунального та дорожнього господарства. За звітний період їх надійшло 1197, що становить 48,9% від загальної кількості. </w:t>
      </w:r>
      <w:r w:rsidRPr="00EC56D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Найчастіше громадяни порушували питання проведення ремонту покрівель, доріг, мереж водопостачання, водовідведення та теплопостачання, </w:t>
      </w:r>
      <w:r w:rsidRPr="00EC56D7">
        <w:rPr>
          <w:rFonts w:ascii="Times New Roman" w:hAnsi="Times New Roman" w:cs="Times New Roman"/>
          <w:sz w:val="28"/>
          <w:szCs w:val="28"/>
          <w:lang w:val="uk-UA"/>
        </w:rPr>
        <w:t>відновлення роботи ліфтів, інше.</w:t>
      </w:r>
    </w:p>
    <w:p w:rsidR="00CF7C30" w:rsidRPr="00EC56D7" w:rsidRDefault="00CF7C30" w:rsidP="00CF7C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6D7">
        <w:rPr>
          <w:rFonts w:ascii="Times New Roman" w:hAnsi="Times New Roman" w:cs="Times New Roman"/>
          <w:sz w:val="28"/>
          <w:szCs w:val="28"/>
          <w:lang w:val="uk-UA"/>
        </w:rPr>
        <w:t>У І півріччі 2018 року спостерігається зменшення питомої ваги звернень громадян з питань комунального та дорожнього господарства в загальній структурі звернень на 3,0%, з питань транспорту та зв’язку (найактуальніші недотримання графіків руху тролейбусів, встановлення електронних табло на зупинках громадського транспорту) – на 2,8%, аграрної політики та земельних відносин (визначення меж земельних ділянок, надання дозволу на розробку проекту землеустрою) – на 1,0%.</w:t>
      </w:r>
    </w:p>
    <w:p w:rsidR="00CF7C30" w:rsidRPr="00EC56D7" w:rsidRDefault="00CF7C30" w:rsidP="00CF7C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6D7">
        <w:rPr>
          <w:rFonts w:ascii="Times New Roman" w:hAnsi="Times New Roman" w:cs="Times New Roman"/>
          <w:sz w:val="28"/>
          <w:szCs w:val="28"/>
          <w:lang w:val="uk-UA"/>
        </w:rPr>
        <w:t xml:space="preserve"> Поряд з тим кількість звернень з питань поліпшення житлових умов зросла на 5,6 %, а соціального захисту населення (надання матеріальної допомоги, призначення субсидії) – на 2,4%. </w:t>
      </w:r>
    </w:p>
    <w:p w:rsidR="00CF7C30" w:rsidRPr="00EC56D7" w:rsidRDefault="00CF7C30" w:rsidP="00CF7C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C56D7">
        <w:rPr>
          <w:sz w:val="28"/>
          <w:szCs w:val="28"/>
          <w:lang w:val="uk-UA"/>
        </w:rPr>
        <w:lastRenderedPageBreak/>
        <w:t>В Сумській міській раді реалізовано вимоги чинного законодавства та запроваджено можливість надання громадянами звернень за допомогою електронних петицій.</w:t>
      </w:r>
    </w:p>
    <w:p w:rsidR="00CF7C30" w:rsidRPr="00EC56D7" w:rsidRDefault="00CF7C30" w:rsidP="00CF7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6D7">
        <w:rPr>
          <w:rFonts w:ascii="Times New Roman" w:hAnsi="Times New Roman" w:cs="Times New Roman"/>
          <w:sz w:val="28"/>
          <w:szCs w:val="28"/>
          <w:lang w:val="uk-UA"/>
        </w:rPr>
        <w:t xml:space="preserve">Робота з електронними петиціями в Сумській міській раді здійснюється з використанням Єдиної системи місцевих петицій - портал </w:t>
      </w:r>
      <w:hyperlink r:id="rId8" w:history="1">
        <w:r w:rsidRPr="00EC56D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http://www.e-dem.in.ua/sumy</w:t>
        </w:r>
      </w:hyperlink>
      <w:r w:rsidRPr="00EC56D7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  <w:r w:rsidRPr="00EC56D7">
        <w:rPr>
          <w:rFonts w:ascii="Times New Roman" w:hAnsi="Times New Roman" w:cs="Times New Roman"/>
          <w:sz w:val="28"/>
          <w:szCs w:val="28"/>
          <w:lang w:val="uk-UA"/>
        </w:rPr>
        <w:t xml:space="preserve"> Дана система інтегрована в сайт Сумської міської ради. </w:t>
      </w:r>
    </w:p>
    <w:p w:rsidR="00CF7C30" w:rsidRPr="00EC56D7" w:rsidRDefault="00CF7C30" w:rsidP="00CF7C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 І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півріччі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2018 року через ЄСМП до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міської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ради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надійшло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263 таких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електронних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звернен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ня</w:t>
      </w:r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По 199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петиц</w:t>
      </w:r>
      <w:r w:rsidRPr="00EC56D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іях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тривав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збір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підписів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Необхідну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кількість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підписів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(250) набрала </w:t>
      </w:r>
      <w:r w:rsidRPr="00EC56D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81</w:t>
      </w:r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петиція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EC56D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 які були</w:t>
      </w:r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надані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відповіді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що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містили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роз’яснення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стосовно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порушених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петиціях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питань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так і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конкретні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кроки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влади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щодо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їх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вирішення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EC56D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По 7 петиціям були підготовлені проекти рішень, що розглядались виконавчим комітетом СМР. З них підтримані були лише 2. На розгляд Сумської міської ради виносились проекти по 2 петиціям, які були підтримані.</w:t>
      </w:r>
    </w:p>
    <w:p w:rsidR="00CF7C30" w:rsidRPr="00EC56D7" w:rsidRDefault="00CF7C30" w:rsidP="00CF7C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Тематика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електронних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петицій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різноманітна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проте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переважають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питання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комунального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 дорожнього господарства, благоустрою міста,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громадського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транспорту, будівництва,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реклами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Разом з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тим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є і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соціальні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проблеми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і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питання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розбудови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інфраструктури міста,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петиції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загальнодержавного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спрямування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тощо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F7C30" w:rsidRPr="00EC56D7" w:rsidRDefault="00CF7C30" w:rsidP="00CF7C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Найбільш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резонансними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були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петиції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що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стосувалися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громадського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транспорту,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зокрема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придбання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транспортних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засобів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EC56D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заборони добудови торговельного центру «Універмаг «Київ», перевірки торговельно-розважальних центрів на дотримання правил пожежної безпеки, </w:t>
      </w:r>
      <w:proofErr w:type="spellStart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>тощо</w:t>
      </w:r>
      <w:proofErr w:type="spellEnd"/>
      <w:r w:rsidRPr="00EC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CF7C30" w:rsidRPr="00EC56D7" w:rsidRDefault="00CF7C30" w:rsidP="00CF7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6D7">
        <w:rPr>
          <w:rFonts w:ascii="Times New Roman" w:hAnsi="Times New Roman" w:cs="Times New Roman"/>
          <w:sz w:val="28"/>
          <w:szCs w:val="28"/>
          <w:lang w:val="uk-UA"/>
        </w:rPr>
        <w:t>Електронні петиції, які в установлений строк не набрали необхідної кількості голосів, розглянуті, як звичайні звернення. Таких у І півріччі 2018 року було 151.</w:t>
      </w:r>
    </w:p>
    <w:p w:rsidR="00CF7C30" w:rsidRPr="00EC56D7" w:rsidRDefault="00CF7C30" w:rsidP="00CF7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6D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рекомендацій постанови Кабінету Міністрів України </w:t>
      </w:r>
      <w:r w:rsidRPr="00EC56D7"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  <w:t xml:space="preserve">від </w:t>
      </w:r>
      <w:smartTag w:uri="urn:schemas-microsoft-com:office:smarttags" w:element="date">
        <w:smartTagPr>
          <w:attr w:name="ls" w:val="trans"/>
          <w:attr w:name="Month" w:val="08"/>
          <w:attr w:name="Day" w:val="24"/>
          <w:attr w:name="Year" w:val="2008"/>
        </w:smartTagPr>
        <w:r w:rsidRPr="00EC56D7">
          <w:rPr>
            <w:rFonts w:ascii="Times New Roman" w:hAnsi="Times New Roman" w:cs="Times New Roman"/>
            <w:sz w:val="28"/>
            <w:szCs w:val="28"/>
            <w:lang w:val="uk-UA"/>
          </w:rPr>
          <w:t>24.08.2008</w:t>
        </w:r>
      </w:smartTag>
      <w:r w:rsidRPr="00EC56D7">
        <w:rPr>
          <w:rFonts w:ascii="Times New Roman" w:hAnsi="Times New Roman" w:cs="Times New Roman"/>
          <w:sz w:val="28"/>
          <w:szCs w:val="28"/>
          <w:lang w:val="uk-UA"/>
        </w:rPr>
        <w:t xml:space="preserve"> № 858 для ведення обліку звернень громадян застосовується Класифікатор звернень громадян.</w:t>
      </w:r>
    </w:p>
    <w:p w:rsidR="00CF7C30" w:rsidRDefault="00CF7C30" w:rsidP="00CF7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6D7">
        <w:rPr>
          <w:rFonts w:ascii="Times New Roman" w:hAnsi="Times New Roman" w:cs="Times New Roman"/>
          <w:sz w:val="28"/>
          <w:szCs w:val="28"/>
          <w:lang w:val="uk-UA"/>
        </w:rPr>
        <w:t>За суб’єктом звернення в І півріччі 2018 року надійшло 2173 індивідуальних звернення, 224 колективних та 10 звернень, що не підлягає розгляду, повернуто автору.</w:t>
      </w:r>
    </w:p>
    <w:p w:rsidR="00CF7C30" w:rsidRDefault="00CF7C30" w:rsidP="00CF7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7A3D41F" wp14:editId="430D8679">
            <wp:extent cx="4792980" cy="2667000"/>
            <wp:effectExtent l="0" t="0" r="762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7C30" w:rsidRPr="00EC56D7" w:rsidRDefault="00CF7C30" w:rsidP="00CF7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6D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Здебільшого колективно мешканці звертаються з питань відновлення роботи ліфтів, благоустрою прибудинкових територій, ремонту покрівель та комунальних мереж. </w:t>
      </w:r>
    </w:p>
    <w:p w:rsidR="00CF7C30" w:rsidRPr="00EC56D7" w:rsidRDefault="00CF7C30" w:rsidP="00CF7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6D7">
        <w:rPr>
          <w:rFonts w:ascii="Times New Roman" w:hAnsi="Times New Roman" w:cs="Times New Roman"/>
          <w:sz w:val="28"/>
          <w:szCs w:val="28"/>
          <w:lang w:val="uk-UA"/>
        </w:rPr>
        <w:t>Кількість підписів громадян під колективними зверненнями становить 3865.</w:t>
      </w:r>
    </w:p>
    <w:p w:rsidR="00CF7C30" w:rsidRPr="00EC56D7" w:rsidRDefault="00CF7C30" w:rsidP="00CF7C30">
      <w:pPr>
        <w:spacing w:after="0" w:line="240" w:lineRule="auto"/>
        <w:ind w:firstLine="70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C56D7">
        <w:rPr>
          <w:rFonts w:ascii="Times New Roman" w:hAnsi="Times New Roman" w:cs="Times New Roman"/>
          <w:sz w:val="28"/>
          <w:szCs w:val="28"/>
          <w:lang w:val="uk-UA"/>
        </w:rPr>
        <w:t xml:space="preserve">Приділяється особлива увага вирішенню проблем, з якими звертаються </w:t>
      </w:r>
      <w:r w:rsidRPr="00EC56D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ветерани війни та праці, інваліди, громадяни, які постраждали внаслідок Чорнобильської катастрофи, багатодітні сім'ї, одинокі матері та інші громадяни, які потребують соціального захисту та підтримки:</w:t>
      </w:r>
    </w:p>
    <w:p w:rsidR="00CF7C30" w:rsidRPr="00EC56D7" w:rsidRDefault="00CF7C30" w:rsidP="00CF7C30">
      <w:pPr>
        <w:spacing w:after="0" w:line="240" w:lineRule="auto"/>
        <w:ind w:firstLine="70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C56D7">
        <w:rPr>
          <w:rFonts w:ascii="Times New Roman" w:hAnsi="Times New Roman" w:cs="Times New Roman"/>
          <w:sz w:val="28"/>
          <w:szCs w:val="28"/>
          <w:lang w:val="uk-UA"/>
        </w:rPr>
        <w:t>У І півріччі 2018 року від даної категорії громадян надійшло 406 звернень (16,9% від загальної кількості.)</w:t>
      </w:r>
    </w:p>
    <w:p w:rsidR="00CF7C30" w:rsidRPr="00EC56D7" w:rsidRDefault="00CF7C30" w:rsidP="00CF7C30">
      <w:pPr>
        <w:spacing w:after="0" w:line="240" w:lineRule="auto"/>
        <w:ind w:firstLine="70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F7C30" w:rsidRPr="00EC56D7" w:rsidRDefault="00CF7C30" w:rsidP="00CF7C3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6D7">
        <w:rPr>
          <w:rFonts w:ascii="Times New Roman" w:hAnsi="Times New Roman" w:cs="Times New Roman"/>
          <w:sz w:val="28"/>
          <w:szCs w:val="28"/>
        </w:rPr>
        <w:t xml:space="preserve">Структура звернень </w:t>
      </w:r>
      <w:proofErr w:type="spellStart"/>
      <w:r w:rsidRPr="00EC56D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C5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6D7">
        <w:rPr>
          <w:rFonts w:ascii="Times New Roman" w:hAnsi="Times New Roman" w:cs="Times New Roman"/>
          <w:sz w:val="28"/>
          <w:szCs w:val="28"/>
        </w:rPr>
        <w:t>найменш</w:t>
      </w:r>
      <w:proofErr w:type="spellEnd"/>
      <w:r w:rsidRPr="00EC5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6D7">
        <w:rPr>
          <w:rFonts w:ascii="Times New Roman" w:hAnsi="Times New Roman" w:cs="Times New Roman"/>
          <w:sz w:val="28"/>
          <w:szCs w:val="28"/>
        </w:rPr>
        <w:t>захищених</w:t>
      </w:r>
      <w:proofErr w:type="spellEnd"/>
      <w:r w:rsidRPr="00EC5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6D7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EC56D7">
        <w:rPr>
          <w:rFonts w:ascii="Times New Roman" w:hAnsi="Times New Roman" w:cs="Times New Roman"/>
          <w:sz w:val="28"/>
          <w:szCs w:val="28"/>
        </w:rPr>
        <w:t xml:space="preserve"> населення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EC56D7">
        <w:rPr>
          <w:rFonts w:ascii="Times New Roman" w:hAnsi="Times New Roman" w:cs="Times New Roman"/>
          <w:sz w:val="28"/>
          <w:szCs w:val="28"/>
        </w:rPr>
        <w:t xml:space="preserve">у </w:t>
      </w:r>
      <w:r w:rsidRPr="00EC56D7">
        <w:rPr>
          <w:rFonts w:ascii="Times New Roman" w:hAnsi="Times New Roman" w:cs="Times New Roman"/>
          <w:sz w:val="28"/>
          <w:szCs w:val="28"/>
          <w:lang w:val="uk-UA"/>
        </w:rPr>
        <w:t xml:space="preserve">І півріччі </w:t>
      </w:r>
      <w:r w:rsidRPr="00EC56D7">
        <w:rPr>
          <w:rFonts w:ascii="Times New Roman" w:hAnsi="Times New Roman" w:cs="Times New Roman"/>
          <w:sz w:val="28"/>
          <w:szCs w:val="28"/>
        </w:rPr>
        <w:t>201</w:t>
      </w:r>
      <w:r w:rsidRPr="00EC56D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C5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6D7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EC56D7">
        <w:rPr>
          <w:rFonts w:ascii="Times New Roman" w:hAnsi="Times New Roman" w:cs="Times New Roman"/>
          <w:sz w:val="28"/>
          <w:szCs w:val="28"/>
          <w:lang w:val="uk-UA"/>
        </w:rPr>
        <w:t>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2"/>
        <w:gridCol w:w="1543"/>
      </w:tblGrid>
      <w:tr w:rsidR="00CF7C30" w:rsidRPr="00EC56D7" w:rsidTr="00A82CA4">
        <w:tc>
          <w:tcPr>
            <w:tcW w:w="7905" w:type="dxa"/>
            <w:shd w:val="clear" w:color="auto" w:fill="auto"/>
            <w:vAlign w:val="bottom"/>
          </w:tcPr>
          <w:p w:rsidR="00CF7C30" w:rsidRPr="00EC56D7" w:rsidRDefault="00CF7C30" w:rsidP="00A82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6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учасників та інвалідів війни, учасників бойових дій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7C30" w:rsidRPr="00EC56D7" w:rsidRDefault="00CF7C30" w:rsidP="00A82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6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</w:t>
            </w:r>
          </w:p>
        </w:tc>
      </w:tr>
      <w:tr w:rsidR="00CF7C30" w:rsidRPr="00EC56D7" w:rsidTr="00A82CA4">
        <w:tc>
          <w:tcPr>
            <w:tcW w:w="7905" w:type="dxa"/>
            <w:shd w:val="clear" w:color="auto" w:fill="auto"/>
          </w:tcPr>
          <w:p w:rsidR="00CF7C30" w:rsidRPr="00EC56D7" w:rsidRDefault="00CF7C30" w:rsidP="00A82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6D7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EC5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6D7">
              <w:rPr>
                <w:rFonts w:ascii="Times New Roman" w:hAnsi="Times New Roman" w:cs="Times New Roman"/>
                <w:sz w:val="28"/>
                <w:szCs w:val="28"/>
              </w:rPr>
              <w:t>інвалідів</w:t>
            </w:r>
            <w:proofErr w:type="spellEnd"/>
            <w:r w:rsidRPr="00EC56D7">
              <w:rPr>
                <w:rFonts w:ascii="Times New Roman" w:hAnsi="Times New Roman" w:cs="Times New Roman"/>
                <w:sz w:val="28"/>
                <w:szCs w:val="28"/>
              </w:rPr>
              <w:t xml:space="preserve"> І, ІІ, ІІІ гр.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F7C30" w:rsidRPr="00EC56D7" w:rsidRDefault="00CF7C30" w:rsidP="00A82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F7C30" w:rsidRPr="00EC56D7" w:rsidTr="00A82CA4">
        <w:tc>
          <w:tcPr>
            <w:tcW w:w="7905" w:type="dxa"/>
            <w:shd w:val="clear" w:color="auto" w:fill="auto"/>
          </w:tcPr>
          <w:p w:rsidR="00CF7C30" w:rsidRPr="00EC56D7" w:rsidRDefault="00CF7C30" w:rsidP="00A82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6D7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EC5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6D7">
              <w:rPr>
                <w:rFonts w:ascii="Times New Roman" w:hAnsi="Times New Roman" w:cs="Times New Roman"/>
                <w:sz w:val="28"/>
                <w:szCs w:val="28"/>
              </w:rPr>
              <w:t>ветеранів</w:t>
            </w:r>
            <w:proofErr w:type="spellEnd"/>
            <w:r w:rsidRPr="00EC5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6D7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CF7C30" w:rsidRPr="00EC56D7" w:rsidRDefault="00CF7C30" w:rsidP="00A82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7C30" w:rsidRPr="00EC56D7" w:rsidTr="00A82CA4">
        <w:tc>
          <w:tcPr>
            <w:tcW w:w="7905" w:type="dxa"/>
            <w:shd w:val="clear" w:color="auto" w:fill="auto"/>
            <w:vAlign w:val="bottom"/>
          </w:tcPr>
          <w:p w:rsidR="00CF7C30" w:rsidRPr="00EC56D7" w:rsidRDefault="00CF7C30" w:rsidP="00A82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6D7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EC5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6D7">
              <w:rPr>
                <w:rFonts w:ascii="Times New Roman" w:hAnsi="Times New Roman" w:cs="Times New Roman"/>
                <w:sz w:val="28"/>
                <w:szCs w:val="28"/>
              </w:rPr>
              <w:t>членів</w:t>
            </w:r>
            <w:proofErr w:type="spellEnd"/>
            <w:r w:rsidRPr="00EC5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6D7">
              <w:rPr>
                <w:rFonts w:ascii="Times New Roman" w:hAnsi="Times New Roman" w:cs="Times New Roman"/>
                <w:sz w:val="28"/>
                <w:szCs w:val="28"/>
              </w:rPr>
              <w:t>багатодітних</w:t>
            </w:r>
            <w:proofErr w:type="spellEnd"/>
            <w:r w:rsidRPr="00EC5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6D7">
              <w:rPr>
                <w:rFonts w:ascii="Times New Roman" w:hAnsi="Times New Roman" w:cs="Times New Roman"/>
                <w:sz w:val="28"/>
                <w:szCs w:val="28"/>
              </w:rPr>
              <w:t>сімей</w:t>
            </w:r>
            <w:proofErr w:type="spellEnd"/>
            <w:r w:rsidRPr="00EC56D7">
              <w:rPr>
                <w:rFonts w:ascii="Times New Roman" w:hAnsi="Times New Roman" w:cs="Times New Roman"/>
                <w:sz w:val="28"/>
                <w:szCs w:val="28"/>
              </w:rPr>
              <w:t xml:space="preserve">, одиноких </w:t>
            </w:r>
            <w:proofErr w:type="spellStart"/>
            <w:r w:rsidRPr="00EC56D7">
              <w:rPr>
                <w:rFonts w:ascii="Times New Roman" w:hAnsi="Times New Roman" w:cs="Times New Roman"/>
                <w:sz w:val="28"/>
                <w:szCs w:val="28"/>
              </w:rPr>
              <w:t>матерів</w:t>
            </w:r>
            <w:proofErr w:type="spellEnd"/>
            <w:r w:rsidRPr="00EC56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56D7">
              <w:rPr>
                <w:rFonts w:ascii="Times New Roman" w:hAnsi="Times New Roman" w:cs="Times New Roman"/>
                <w:sz w:val="28"/>
                <w:szCs w:val="28"/>
              </w:rPr>
              <w:t>матерів-героїнь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CF7C30" w:rsidRPr="00EC56D7" w:rsidRDefault="00CF7C30" w:rsidP="00A82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6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F7C30" w:rsidRPr="00EC56D7" w:rsidTr="00A82CA4">
        <w:tc>
          <w:tcPr>
            <w:tcW w:w="7905" w:type="dxa"/>
            <w:shd w:val="clear" w:color="auto" w:fill="auto"/>
          </w:tcPr>
          <w:p w:rsidR="00CF7C30" w:rsidRPr="00EC56D7" w:rsidRDefault="00CF7C30" w:rsidP="00A82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6D7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EC5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6D7">
              <w:rPr>
                <w:rFonts w:ascii="Times New Roman" w:hAnsi="Times New Roman" w:cs="Times New Roman"/>
                <w:sz w:val="28"/>
                <w:szCs w:val="28"/>
              </w:rPr>
              <w:t>учасників</w:t>
            </w:r>
            <w:proofErr w:type="spellEnd"/>
            <w:r w:rsidRPr="00EC5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6D7">
              <w:rPr>
                <w:rFonts w:ascii="Times New Roman" w:hAnsi="Times New Roman" w:cs="Times New Roman"/>
                <w:sz w:val="28"/>
                <w:szCs w:val="28"/>
              </w:rPr>
              <w:t>ліквідації</w:t>
            </w:r>
            <w:proofErr w:type="spellEnd"/>
            <w:r w:rsidRPr="00EC5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6D7">
              <w:rPr>
                <w:rFonts w:ascii="Times New Roman" w:hAnsi="Times New Roman" w:cs="Times New Roman"/>
                <w:sz w:val="28"/>
                <w:szCs w:val="28"/>
              </w:rPr>
              <w:t>наслідків</w:t>
            </w:r>
            <w:proofErr w:type="spellEnd"/>
            <w:r w:rsidRPr="00EC5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6D7">
              <w:rPr>
                <w:rFonts w:ascii="Times New Roman" w:hAnsi="Times New Roman" w:cs="Times New Roman"/>
                <w:sz w:val="28"/>
                <w:szCs w:val="28"/>
              </w:rPr>
              <w:t>аварії</w:t>
            </w:r>
            <w:proofErr w:type="spellEnd"/>
            <w:r w:rsidRPr="00EC56D7">
              <w:rPr>
                <w:rFonts w:ascii="Times New Roman" w:hAnsi="Times New Roman" w:cs="Times New Roman"/>
                <w:sz w:val="28"/>
                <w:szCs w:val="28"/>
              </w:rPr>
              <w:t xml:space="preserve"> на ЧАЕС та </w:t>
            </w:r>
            <w:proofErr w:type="spellStart"/>
            <w:r w:rsidRPr="00EC56D7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EC56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56D7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C5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6D7">
              <w:rPr>
                <w:rFonts w:ascii="Times New Roman" w:hAnsi="Times New Roman" w:cs="Times New Roman"/>
                <w:sz w:val="28"/>
                <w:szCs w:val="28"/>
              </w:rPr>
              <w:t>потерпіли</w:t>
            </w:r>
            <w:proofErr w:type="spellEnd"/>
            <w:r w:rsidRPr="00EC5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6D7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EC5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6D7">
              <w:rPr>
                <w:rFonts w:ascii="Times New Roman" w:hAnsi="Times New Roman" w:cs="Times New Roman"/>
                <w:sz w:val="28"/>
                <w:szCs w:val="28"/>
              </w:rPr>
              <w:t>Чорнобильської</w:t>
            </w:r>
            <w:proofErr w:type="spellEnd"/>
            <w:r w:rsidRPr="00EC5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6D7">
              <w:rPr>
                <w:rFonts w:ascii="Times New Roman" w:hAnsi="Times New Roman" w:cs="Times New Roman"/>
                <w:sz w:val="28"/>
                <w:szCs w:val="28"/>
              </w:rPr>
              <w:t>катастрофи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CF7C30" w:rsidRPr="00EC56D7" w:rsidRDefault="00CF7C30" w:rsidP="00A82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7C30" w:rsidRPr="00EC56D7" w:rsidTr="00A82CA4">
        <w:tc>
          <w:tcPr>
            <w:tcW w:w="7905" w:type="dxa"/>
            <w:shd w:val="clear" w:color="auto" w:fill="auto"/>
          </w:tcPr>
          <w:p w:rsidR="00CF7C30" w:rsidRPr="00EC56D7" w:rsidRDefault="00CF7C30" w:rsidP="00A82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6D7">
              <w:rPr>
                <w:rFonts w:ascii="Times New Roman" w:hAnsi="Times New Roman" w:cs="Times New Roman"/>
                <w:sz w:val="28"/>
                <w:szCs w:val="28"/>
              </w:rPr>
              <w:t>пенсіонери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CF7C30" w:rsidRPr="00EC56D7" w:rsidRDefault="00CF7C30" w:rsidP="00A82C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6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</w:p>
        </w:tc>
      </w:tr>
    </w:tbl>
    <w:p w:rsidR="00CF7C30" w:rsidRPr="00EC56D7" w:rsidRDefault="00CF7C30" w:rsidP="00CF7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7C30" w:rsidRPr="00EC56D7" w:rsidRDefault="00CF7C30" w:rsidP="00CF7C30">
      <w:pPr>
        <w:spacing w:after="0" w:line="240" w:lineRule="auto"/>
        <w:ind w:firstLine="70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56D7">
        <w:rPr>
          <w:rFonts w:ascii="Times New Roman" w:hAnsi="Times New Roman" w:cs="Times New Roman"/>
          <w:sz w:val="28"/>
          <w:szCs w:val="28"/>
          <w:lang w:val="uk-UA"/>
        </w:rPr>
        <w:t>Ця категорія громадян найчастіше звертається з питань соціального захисту, надання допомоги в лікуванні, поліпшення житлових умов, тощо. Сумська міська рада, як і завжди, не залишається осторонь від проблем мешканців міста.</w:t>
      </w:r>
    </w:p>
    <w:p w:rsidR="00CF7C30" w:rsidRPr="00EC56D7" w:rsidRDefault="00CF7C30" w:rsidP="00CF7C30">
      <w:pPr>
        <w:spacing w:after="0" w:line="240" w:lineRule="auto"/>
        <w:ind w:firstLine="70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C56D7">
        <w:rPr>
          <w:rFonts w:ascii="Times New Roman" w:hAnsi="Times New Roman" w:cs="Times New Roman"/>
          <w:sz w:val="28"/>
          <w:szCs w:val="28"/>
          <w:lang w:val="uk-UA"/>
        </w:rPr>
        <w:t>Так, у звітному періоді 256 громадянам надано матеріальну допомогу на суму 749,58 тис. грн.</w:t>
      </w:r>
    </w:p>
    <w:p w:rsidR="00CF7C30" w:rsidRPr="00EC56D7" w:rsidRDefault="00CF7C30" w:rsidP="00CF7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6D7">
        <w:rPr>
          <w:rFonts w:ascii="Times New Roman" w:hAnsi="Times New Roman" w:cs="Times New Roman"/>
          <w:sz w:val="28"/>
          <w:szCs w:val="28"/>
          <w:lang w:val="uk-UA"/>
        </w:rPr>
        <w:t xml:space="preserve">На звернення інваліда І групи розпочато роботи з облаштування пандусу у 4-му під’їзді буд. № 1/1  по вул. Харківській. </w:t>
      </w:r>
    </w:p>
    <w:p w:rsidR="00CF7C30" w:rsidRPr="00EC56D7" w:rsidRDefault="00CF7C30" w:rsidP="00CF7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6D7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метою поглибленого вивчення та вирішення існуючих проблем мешканців міста</w:t>
      </w:r>
      <w:r w:rsidRPr="00EC5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56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ведеться </w:t>
      </w:r>
      <w:r w:rsidRPr="00EC56D7">
        <w:rPr>
          <w:rFonts w:ascii="Times New Roman" w:hAnsi="Times New Roman" w:cs="Times New Roman"/>
          <w:sz w:val="28"/>
          <w:szCs w:val="28"/>
          <w:lang w:val="uk-UA"/>
        </w:rPr>
        <w:t>прийом громадян з особистих питань.</w:t>
      </w:r>
      <w:r w:rsidRPr="00EC56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C56D7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EC5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6D7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EC56D7">
        <w:rPr>
          <w:rFonts w:ascii="Times New Roman" w:hAnsi="Times New Roman" w:cs="Times New Roman"/>
          <w:sz w:val="28"/>
          <w:szCs w:val="28"/>
        </w:rPr>
        <w:t xml:space="preserve"> громадян </w:t>
      </w:r>
      <w:proofErr w:type="spellStart"/>
      <w:r w:rsidRPr="00EC56D7">
        <w:rPr>
          <w:rFonts w:ascii="Times New Roman" w:hAnsi="Times New Roman" w:cs="Times New Roman"/>
          <w:sz w:val="28"/>
          <w:szCs w:val="28"/>
        </w:rPr>
        <w:t>розміщений</w:t>
      </w:r>
      <w:proofErr w:type="spellEnd"/>
      <w:r w:rsidRPr="00EC56D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56D7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EC5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6D7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EC5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6D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C56D7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Pr="00EC56D7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EC56D7">
        <w:rPr>
          <w:rFonts w:ascii="Times New Roman" w:hAnsi="Times New Roman" w:cs="Times New Roman"/>
          <w:sz w:val="28"/>
          <w:szCs w:val="28"/>
        </w:rPr>
        <w:t xml:space="preserve"> стендах.</w:t>
      </w:r>
    </w:p>
    <w:p w:rsidR="00CF7C30" w:rsidRPr="00EC56D7" w:rsidRDefault="00CF7C30" w:rsidP="00CF7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6D7">
        <w:rPr>
          <w:rFonts w:ascii="Times New Roman" w:hAnsi="Times New Roman" w:cs="Times New Roman"/>
          <w:sz w:val="28"/>
          <w:szCs w:val="28"/>
          <w:lang w:val="uk-UA"/>
        </w:rPr>
        <w:t>Слід зазначити, що в непоодиноких випадках прийом громадян протягом робочого часу здійснюється, незалежно від затвердженого графіку, що в значній мірі сприяє попередженню виникнення скарг.</w:t>
      </w:r>
    </w:p>
    <w:p w:rsidR="00CF7C30" w:rsidRPr="00EC56D7" w:rsidRDefault="00CF7C30" w:rsidP="00CF7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6D7">
        <w:rPr>
          <w:rFonts w:ascii="Times New Roman" w:hAnsi="Times New Roman" w:cs="Times New Roman"/>
          <w:sz w:val="28"/>
          <w:szCs w:val="28"/>
          <w:lang w:val="uk-UA"/>
        </w:rPr>
        <w:t>Під час проведення прийомів забезпечений першочерговий прийом пільгових категорій громадян. За пропозиціями керівництва до проведення прийомів залучаються керівники департаментів, управлінь та відділів, а також комунальних підприємств  міста.</w:t>
      </w:r>
    </w:p>
    <w:p w:rsidR="00CF7C30" w:rsidRPr="00EC56D7" w:rsidRDefault="00CF7C30" w:rsidP="00CF7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6D7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Працівниками департаменту комунікацій та інформаційної політики здійснюється організаційно-технічна підготовка особистих прийомів міського голови, секретаря Сумської міської ради, заступників міського голови з питань </w:t>
      </w:r>
      <w:r w:rsidRPr="00EC56D7">
        <w:rPr>
          <w:rFonts w:ascii="Times New Roman" w:hAnsi="Times New Roman" w:cs="Times New Roman"/>
          <w:sz w:val="28"/>
          <w:szCs w:val="28"/>
          <w:lang w:val="uk-UA"/>
        </w:rPr>
        <w:lastRenderedPageBreak/>
        <w:t>діяльності виконавчих органів ради, заступника міського голови, керуючого справами виконавчого комітету.</w:t>
      </w:r>
    </w:p>
    <w:p w:rsidR="00CF7C30" w:rsidRPr="000C4D85" w:rsidRDefault="00CF7C30" w:rsidP="00CF7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6D7">
        <w:rPr>
          <w:rFonts w:ascii="Times New Roman" w:hAnsi="Times New Roman" w:cs="Times New Roman"/>
          <w:sz w:val="28"/>
          <w:szCs w:val="28"/>
          <w:lang w:val="uk-UA"/>
        </w:rPr>
        <w:t xml:space="preserve">У І півріччі 2018 року міським головою та його заступниками проведено 112 прийомів громадян з особистих питань, на яких розглянуто 337 проблемних питань. </w:t>
      </w:r>
      <w:r w:rsidRPr="000C4D85">
        <w:rPr>
          <w:rFonts w:ascii="Times New Roman" w:hAnsi="Times New Roman" w:cs="Times New Roman"/>
          <w:sz w:val="28"/>
          <w:szCs w:val="28"/>
          <w:lang w:val="uk-UA"/>
        </w:rPr>
        <w:t>На д</w:t>
      </w:r>
      <w:r>
        <w:rPr>
          <w:rFonts w:ascii="Times New Roman" w:hAnsi="Times New Roman" w:cs="Times New Roman"/>
          <w:sz w:val="28"/>
          <w:szCs w:val="28"/>
          <w:lang w:val="uk-UA"/>
        </w:rPr>
        <w:t>аний час позитивно вирішено 168  питань</w:t>
      </w:r>
      <w:r w:rsidRPr="000C4D85">
        <w:rPr>
          <w:rFonts w:ascii="Times New Roman" w:hAnsi="Times New Roman" w:cs="Times New Roman"/>
          <w:sz w:val="28"/>
          <w:szCs w:val="28"/>
          <w:lang w:val="uk-UA"/>
        </w:rPr>
        <w:t xml:space="preserve"> (50%).</w:t>
      </w:r>
    </w:p>
    <w:p w:rsidR="00CF7C30" w:rsidRPr="00EC56D7" w:rsidRDefault="00CF7C30" w:rsidP="00CF7C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6D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EC56D7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Працівниками відділу звернень громадян здійснюється щоденний консультативний прийом громадян. Мешканцям надаються консультації, як при безпосередньому зверненні до відділу, так і в телефонному режимі. </w:t>
      </w:r>
    </w:p>
    <w:p w:rsidR="00CF7C30" w:rsidRPr="00EC56D7" w:rsidRDefault="00CF7C30" w:rsidP="00CF7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6D7">
        <w:rPr>
          <w:rFonts w:ascii="Times New Roman" w:hAnsi="Times New Roman" w:cs="Times New Roman"/>
          <w:sz w:val="28"/>
          <w:szCs w:val="28"/>
          <w:lang w:val="uk-UA"/>
        </w:rPr>
        <w:t>До кожного громадянина забезпечується уважне та шанобливе ставлення, використовується індивідуальний підхід. Під час прийому звернень від мешканців працівниками відділу не допускається створення черги.</w:t>
      </w:r>
    </w:p>
    <w:p w:rsidR="00CF7C30" w:rsidRPr="00EC56D7" w:rsidRDefault="00CF7C30" w:rsidP="00CF7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6D7">
        <w:rPr>
          <w:rFonts w:ascii="Times New Roman" w:hAnsi="Times New Roman" w:cs="Times New Roman"/>
          <w:sz w:val="28"/>
          <w:szCs w:val="28"/>
        </w:rPr>
        <w:t xml:space="preserve">Стан </w:t>
      </w:r>
      <w:r w:rsidRPr="00EC56D7">
        <w:rPr>
          <w:rFonts w:ascii="Times New Roman" w:hAnsi="Times New Roman" w:cs="Times New Roman"/>
          <w:sz w:val="28"/>
          <w:szCs w:val="28"/>
          <w:lang w:val="uk-UA"/>
        </w:rPr>
        <w:t>виконавської дисципліни у виконавчому комітеті Сумської міської ради знаходиться на належному рівні</w:t>
      </w:r>
      <w:r w:rsidRPr="00EC56D7">
        <w:rPr>
          <w:rFonts w:ascii="Times New Roman" w:hAnsi="Times New Roman" w:cs="Times New Roman"/>
          <w:sz w:val="28"/>
          <w:szCs w:val="28"/>
        </w:rPr>
        <w:t>.</w:t>
      </w:r>
      <w:r w:rsidRPr="00EC56D7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Систематично проводиться аналіз роботи зі зверненнями громадян та вживаються відповідні заходи щодо підвищення результативності вирішення питань, порушених у зверненнях мешканців міста, налагодження ефективної роботи з розгляду звернень громадян. </w:t>
      </w:r>
    </w:p>
    <w:p w:rsidR="00CF7C30" w:rsidRPr="00EC56D7" w:rsidRDefault="00CF7C30" w:rsidP="00CF7C3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6D7">
        <w:rPr>
          <w:rFonts w:ascii="Times New Roman" w:hAnsi="Times New Roman" w:cs="Times New Roman"/>
          <w:sz w:val="28"/>
          <w:szCs w:val="28"/>
          <w:lang w:val="uk-UA"/>
        </w:rPr>
        <w:tab/>
        <w:t>Звернення, що потребують додаткового опрацювання або виділення додаткових коштів з місцевого бюджету для вирішення порушених у них питань,</w:t>
      </w:r>
      <w:r w:rsidRPr="00EC56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C56D7">
        <w:rPr>
          <w:rFonts w:ascii="Times New Roman" w:hAnsi="Times New Roman" w:cs="Times New Roman"/>
          <w:sz w:val="28"/>
          <w:szCs w:val="28"/>
          <w:lang w:val="uk-UA"/>
        </w:rPr>
        <w:t xml:space="preserve">залишаються на контролі до остаточного їх вирішення. </w:t>
      </w:r>
    </w:p>
    <w:p w:rsidR="00CF7C30" w:rsidRPr="00EC56D7" w:rsidRDefault="00CF7C30" w:rsidP="00CF7C3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6D7">
        <w:rPr>
          <w:rFonts w:ascii="Times New Roman" w:hAnsi="Times New Roman" w:cs="Times New Roman"/>
          <w:sz w:val="28"/>
          <w:szCs w:val="28"/>
          <w:lang w:val="uk-UA"/>
        </w:rPr>
        <w:t xml:space="preserve">          У випадку неможливості позитивного вирішення питання громадянам надаються письмові роз’яснення.</w:t>
      </w:r>
    </w:p>
    <w:p w:rsidR="00CF7C30" w:rsidRPr="00EC56D7" w:rsidRDefault="00CF7C30" w:rsidP="00CF7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6D7">
        <w:rPr>
          <w:rFonts w:ascii="Times New Roman" w:hAnsi="Times New Roman" w:cs="Times New Roman"/>
          <w:sz w:val="28"/>
          <w:szCs w:val="28"/>
          <w:lang w:val="uk-UA"/>
        </w:rPr>
        <w:t>Керівникам структурних підрозділів необхідно посилити роботу з недопущення перебування звернень на контролі тривалий час, звертати увагу на повне  вирішення питань, порушених у зверненнях, та надання остаточної відповіді заявнику, не допускати випадків надання неоднозначних, необґрунтованих або неповних відповідей, вживати вичерпних заходів щодо позитивного вирішення питань, порушених у зверненнях.</w:t>
      </w:r>
    </w:p>
    <w:p w:rsidR="00CF7C30" w:rsidRPr="00EC56D7" w:rsidRDefault="00CF7C30" w:rsidP="00CF7C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6D7">
        <w:rPr>
          <w:rFonts w:ascii="Times New Roman" w:hAnsi="Times New Roman" w:cs="Times New Roman"/>
          <w:sz w:val="28"/>
          <w:szCs w:val="28"/>
          <w:lang w:val="uk-UA"/>
        </w:rPr>
        <w:tab/>
        <w:t>Одним із методів підвищення прозорості діяльності органу місцевого самоврядування є налагодження ефективного зворотного зв’язку з мешканцями міста. З цією метою та задля зняття соціальної напруги серед населення постійно проводиться  планомірна робота щодо інформування населення з питань актуальних проблем життєдіяльності міста. Інформаційна політика реалізується через впровадження практики брифінгів для представників ЗМІ, виїзних брифінгів, прямих ефірів на радіо та телебаченні, офіційного веб-сайту міської ради.</w:t>
      </w:r>
    </w:p>
    <w:p w:rsidR="00CF7C30" w:rsidRPr="00EC56D7" w:rsidRDefault="00CF7C30" w:rsidP="00CF7C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C56D7">
        <w:rPr>
          <w:sz w:val="28"/>
          <w:szCs w:val="28"/>
          <w:lang w:val="uk-UA"/>
        </w:rPr>
        <w:t>З метою підвищення персональної відповідальності посадових осіб за результати розгляду звернень громадян у березні 2018 року на засіданні виконавчого комітету було заслухано питання по розгляду звернень громадян за 2017 рік, затверджено Положення про порядок роботи зі зверненнями та організації особистого прийому громадян у Сумській міській раді та її виконавчих органах, ухвалені відповідні рішення, затверджені заходи щодо покращення цієї роботи.</w:t>
      </w:r>
    </w:p>
    <w:p w:rsidR="00CF7C30" w:rsidRPr="00EC56D7" w:rsidRDefault="00CF7C30" w:rsidP="00CF7C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6D7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Крім того, стан роботи зі зверненнями громадян у виконавчих органах міської ради систематично обговорюється на апаратних нарадах  при міському голові.</w:t>
      </w:r>
      <w:r w:rsidRPr="00EC56D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F7C30" w:rsidRPr="00EC56D7" w:rsidRDefault="00CF7C30" w:rsidP="00CF7C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6D7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Сумській міській раді та її виконавчих органах і надалі буде здійснюватися робота із забезпечення всебічного розгляду звернень громадян, об’єктивної, неупередженої та вчасної перевірки фактів, викладених у зверненнях, а також посилення персональної відповідальності керівників виконавчих органів за вирішення питань, що порушуються у зверненнях мешканців міста, особливо найменш соціально-захищених категорій громадян. </w:t>
      </w:r>
    </w:p>
    <w:p w:rsidR="00CF7C30" w:rsidRPr="00EC56D7" w:rsidRDefault="00CF7C30" w:rsidP="00CF7C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2979" w:rsidRPr="00CF7C30" w:rsidRDefault="001C2979">
      <w:pPr>
        <w:rPr>
          <w:lang w:val="uk-UA"/>
        </w:rPr>
      </w:pPr>
    </w:p>
    <w:sectPr w:rsidR="001C2979" w:rsidRPr="00CF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4C"/>
    <w:rsid w:val="001C2979"/>
    <w:rsid w:val="007A5F4C"/>
    <w:rsid w:val="00C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067BF9F"/>
  <w15:chartTrackingRefBased/>
  <w15:docId w15:val="{665EEE8B-E018-4F84-8065-D1125A4D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F7C30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CF7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em.in.ua/sumy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7" Type="http://schemas.openxmlformats.org/officeDocument/2006/relationships/oleObject" Target="file:///D:\&#1064;&#1072;&#1073;&#1083;&#1086;\&#1047;&#1074;&#1077;&#1088;&#1085;&#1077;&#1085;&#1085;&#1103;\2018%20&#1030;%20&#1087;&#1110;&#1074;&#1088;&#1110;&#1095;&#1095;&#1103;\&#1044;&#1110;&#1072;&#1075;&#1088;&#1072;&#1084;&#1080;%20&#1076;&#1086;%20&#1030;%20&#1087;&#1110;&#1074;&#1088;&#1110;&#1095;&#1095;&#1103;%202018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6" Type="http://schemas.openxmlformats.org/officeDocument/2006/relationships/image" Target="../media/image3.jpeg"/><Relationship Id="rId5" Type="http://schemas.openxmlformats.org/officeDocument/2006/relationships/image" Target="../media/image2.jpeg"/><Relationship Id="rId4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D:\&#1064;&#1072;&#1073;&#1083;&#1086;\&#1047;&#1074;&#1077;&#1088;&#1085;&#1077;&#1085;&#1085;&#1103;\2018%20&#1030;%20&#1087;&#1110;&#1074;&#1088;&#1110;&#1095;&#1095;&#1103;\&#1044;&#1110;&#1072;&#1075;&#1088;&#1072;&#1084;&#1080;%20&#1076;&#1086;%20&#1030;%20&#1087;&#1110;&#1074;&#1088;&#1110;&#1095;&#1095;&#1103;%202018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D:\&#1064;&#1072;&#1073;&#1083;&#1086;\&#1047;&#1074;&#1077;&#1088;&#1085;&#1077;&#1085;&#1085;&#1103;\2018%20&#1030;%20&#1087;&#1110;&#1074;&#1088;&#1110;&#1095;&#1095;&#1103;\&#1044;&#1110;&#1072;&#1075;&#1088;&#1072;&#1084;&#1080;%20&#1076;&#1086;%20&#1030;%20&#1087;&#1110;&#1074;&#1088;&#1110;&#1095;&#1095;&#1103;%202018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D:\&#1064;&#1072;&#1073;&#1083;&#1086;\&#1047;&#1074;&#1077;&#1088;&#1085;&#1077;&#1085;&#1085;&#1103;\2018%20&#1030;%20&#1087;&#1110;&#1074;&#1088;&#1110;&#1095;&#1095;&#1103;\&#1044;&#1110;&#1072;&#1075;&#1088;&#1072;&#1084;&#1080;%20&#1076;&#1086;%20&#1030;%20&#1087;&#1110;&#1074;&#1088;&#1110;&#1095;&#1095;&#1103;%202018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64;&#1072;&#1073;&#1083;&#1086;\&#1047;&#1074;&#1077;&#1088;&#1085;&#1077;&#1085;&#1085;&#1103;\2018%20&#1030;%20&#1087;&#1110;&#1074;&#1088;&#1110;&#1095;&#1095;&#1103;\&#1044;&#1110;&#1072;&#1075;&#1088;&#1072;&#1084;&#1080;%20&#1076;&#1086;%20&#1030;%20&#1087;&#1110;&#1074;&#1088;&#1110;&#1095;&#1095;&#1103;%202018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i="1" baseline="0">
                <a:solidFill>
                  <a:sysClr val="windowText" lastClr="000000"/>
                </a:solidFill>
              </a:rPr>
              <a:t>Порівняння загальної кількості звернень за І півріччя 2016, 2017 та 2018 років</a:t>
            </a:r>
          </a:p>
        </c:rich>
      </c:tx>
      <c:layout>
        <c:manualLayout>
          <c:xMode val="edge"/>
          <c:yMode val="edge"/>
          <c:x val="0.2193048973143759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0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361439195100612"/>
          <c:y val="0.20292768959435625"/>
          <c:w val="0.82145076917468662"/>
          <c:h val="0.66156369342721044"/>
        </c:manualLayout>
      </c:layout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innerShdw blurRad="114300">
                <a:prstClr val="black"/>
              </a:innerShdw>
            </a:effectLst>
            <a:scene3d>
              <a:camera prst="orthographicFront"/>
              <a:lightRig rig="threePt" dir="t"/>
            </a:scene3d>
            <a:sp3d contourW="9525" prstMaterial="metal">
              <a:bevelT w="101600" prst="riblet"/>
              <a:contourClr>
                <a:schemeClr val="accent1">
                  <a:shade val="9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blipFill>
                <a:blip xmlns:r="http://schemas.openxmlformats.org/officeDocument/2006/relationships" r:embed="rId4"/>
                <a:tile tx="0" ty="0" sx="100000" sy="100000" flip="none" algn="tl"/>
              </a:blip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innerShdw blurRad="114300">
                  <a:prstClr val="black"/>
                </a:innerShdw>
              </a:effectLst>
              <a:scene3d>
                <a:camera prst="orthographicFront"/>
                <a:lightRig rig="threePt" dir="t"/>
              </a:scene3d>
              <a:sp3d contourW="9525" prstMaterial="metal">
                <a:bevelT w="101600" prst="riblet"/>
                <a:contourClr>
                  <a:schemeClr val="accent1">
                    <a:shade val="9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41C-4093-A49B-442C55FE0690}"/>
              </c:ext>
            </c:extLst>
          </c:dPt>
          <c:dPt>
            <c:idx val="1"/>
            <c:invertIfNegative val="0"/>
            <c:bubble3D val="0"/>
            <c:spPr>
              <a:blipFill>
                <a:blip xmlns:r="http://schemas.openxmlformats.org/officeDocument/2006/relationships" r:embed="rId5"/>
                <a:tile tx="0" ty="0" sx="100000" sy="100000" flip="none" algn="tl"/>
              </a:blip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innerShdw blurRad="114300">
                  <a:prstClr val="black"/>
                </a:innerShdw>
              </a:effectLst>
              <a:scene3d>
                <a:camera prst="orthographicFront"/>
                <a:lightRig rig="threePt" dir="t"/>
              </a:scene3d>
              <a:sp3d contourW="9525" prstMaterial="metal">
                <a:bevelT w="101600" prst="riblet"/>
                <a:contourClr>
                  <a:schemeClr val="accent1">
                    <a:shade val="9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41C-4093-A49B-442C55FE0690}"/>
              </c:ext>
            </c:extLst>
          </c:dPt>
          <c:dPt>
            <c:idx val="2"/>
            <c:invertIfNegative val="0"/>
            <c:bubble3D val="0"/>
            <c:spPr>
              <a:blipFill>
                <a:blip xmlns:r="http://schemas.openxmlformats.org/officeDocument/2006/relationships" r:embed="rId6"/>
                <a:tile tx="0" ty="0" sx="100000" sy="100000" flip="none" algn="tl"/>
              </a:blip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innerShdw blurRad="114300">
                  <a:prstClr val="black"/>
                </a:innerShdw>
              </a:effectLst>
              <a:scene3d>
                <a:camera prst="orthographicFront"/>
                <a:lightRig rig="threePt" dir="t"/>
              </a:scene3d>
              <a:sp3d contourW="9525" prstMaterial="metal">
                <a:bevelT w="101600" prst="riblet"/>
                <a:contourClr>
                  <a:schemeClr val="accent1">
                    <a:shade val="9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41C-4093-A49B-442C55FE0690}"/>
              </c:ext>
            </c:extLst>
          </c:dPt>
          <c:dLbls>
            <c:dLbl>
              <c:idx val="0"/>
              <c:layout>
                <c:manualLayout>
                  <c:x val="2.3386034255599472E-2"/>
                  <c:y val="-1.05820105820105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41C-4093-A49B-442C55FE0690}"/>
                </c:ext>
              </c:extLst>
            </c:dLbl>
            <c:dLbl>
              <c:idx val="1"/>
              <c:layout>
                <c:manualLayout>
                  <c:x val="3.9388889627330018E-2"/>
                  <c:y val="-2.8198253460995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1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70297462817148"/>
                      <c:h val="6.221680448939697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C41C-4093-A49B-442C55FE0690}"/>
                </c:ext>
              </c:extLst>
            </c:dLbl>
            <c:dLbl>
              <c:idx val="2"/>
              <c:layout>
                <c:manualLayout>
                  <c:x val="4.8638559508124721E-2"/>
                  <c:y val="-1.124317793609132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1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70838823012736"/>
                      <c:h val="9.400352733686065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C41C-4093-A49B-442C55FE069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Лист3!$A$3:$A$5</c:f>
              <c:strCache>
                <c:ptCount val="3"/>
                <c:pt idx="0">
                  <c:v>І півріччя 2016 року</c:v>
                </c:pt>
                <c:pt idx="1">
                  <c:v>І півріччя 2017 року</c:v>
                </c:pt>
                <c:pt idx="2">
                  <c:v>І півріччя 2018 року</c:v>
                </c:pt>
              </c:strCache>
            </c:strRef>
          </c:cat>
          <c:val>
            <c:numRef>
              <c:f>Лист3!$B$3:$B$5</c:f>
              <c:numCache>
                <c:formatCode>General</c:formatCode>
                <c:ptCount val="3"/>
                <c:pt idx="0">
                  <c:v>2510</c:v>
                </c:pt>
                <c:pt idx="1">
                  <c:v>2052</c:v>
                </c:pt>
                <c:pt idx="2">
                  <c:v>2407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C41C-4093-A49B-442C55FE06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6"/>
        <c:gapDepth val="294"/>
        <c:shape val="box"/>
        <c:axId val="367297432"/>
        <c:axId val="367293168"/>
        <c:axId val="0"/>
      </c:bar3DChart>
      <c:catAx>
        <c:axId val="367297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1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7293168"/>
        <c:crosses val="autoZero"/>
        <c:auto val="1"/>
        <c:lblAlgn val="ctr"/>
        <c:lblOffset val="100"/>
        <c:noMultiLvlLbl val="0"/>
      </c:catAx>
      <c:valAx>
        <c:axId val="367293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7297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7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D9B-48EE-83D3-70A3853AEBE7}"/>
              </c:ext>
            </c:extLst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D9B-48EE-83D3-70A3853AEBE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1" u="none" strike="noStrike" kern="1200" baseline="0">
                    <a:ln>
                      <a:noFill/>
                    </a:ln>
                    <a:solidFill>
                      <a:sysClr val="windowText" lastClr="000000"/>
                    </a:solidFill>
                    <a:effectLst>
                      <a:reflection blurRad="6350" stA="99000" endPos="0" dist="29997" dir="5400000" sy="-100000" algn="bl" rotWithShape="0"/>
                    </a:effectLst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письмові звернення</c:v>
                </c:pt>
                <c:pt idx="1">
                  <c:v>усні звернення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1912</c:v>
                </c:pt>
                <c:pt idx="1">
                  <c:v>495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D9B-48EE-83D3-70A3853AEBE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Результативність розгляду звернень громадян серед інших міст обласного значення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0"/>
      <c:rotY val="5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1198857495754204E-2"/>
          <c:y val="0.15933774834437089"/>
          <c:w val="0.93880114250424584"/>
          <c:h val="0.7338266325980775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м. Миколаїв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horzOverflow="clip" vert="horz" wrap="square" lIns="38100" tIns="19050" rIns="38100" bIns="19050" anchor="ctr" anchorCtr="1">
                <a:noAutofit/>
              </a:bodyPr>
              <a:lstStyle/>
              <a:p>
                <a:pPr>
                  <a:defRPr sz="1000" b="1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Лист2!$B$2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A1-41B4-A74A-BB29A47A291B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м. Чернівці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B prst="relaxedInset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2E994820-AA25-4DC9-AC6E-51D1AF242327}" type="VALUE">
                      <a:rPr lang="en-US" sz="1000" b="1" i="0" baseline="0">
                        <a:ln>
                          <a:noFill/>
                        </a:ln>
                        <a:solidFill>
                          <a:schemeClr val="tx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0A1-41B4-A74A-BB29A47A29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horzOverflow="clip" vert="horz" wrap="square" lIns="38100" tIns="19050" rIns="38100" bIns="19050" anchor="ctr" anchorCtr="1">
                <a:noAutofit/>
              </a:bodyPr>
              <a:lstStyle/>
              <a:p>
                <a:pPr>
                  <a:defRPr sz="1000" b="1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Лист2!$B$3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0A1-41B4-A74A-BB29A47A291B}"/>
            </c:ext>
          </c:extLst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м. Полтава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prst="relaxedInset"/>
            </a:sp3d>
          </c:spPr>
          <c:invertIfNegative val="0"/>
          <c:dLbls>
            <c:dLbl>
              <c:idx val="0"/>
              <c:tx>
                <c:rich>
                  <a:bodyPr rot="0" spcFirstLastPara="1" vertOverflow="ellipsis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1B56992-F4EB-4903-A2D5-EF7C856B25B3}" type="VALUE">
                      <a:rPr lang="en-US"/>
                      <a:pPr>
                        <a:defRPr sz="1000" b="1"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0A1-41B4-A74A-BB29A47A29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Лист2!$B$4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0A1-41B4-A74A-BB29A47A291B}"/>
            </c:ext>
          </c:extLst>
        </c:ser>
        <c:ser>
          <c:idx val="3"/>
          <c:order val="3"/>
          <c:tx>
            <c:strRef>
              <c:f>Лист2!$A$5</c:f>
              <c:strCache>
                <c:ptCount val="1"/>
                <c:pt idx="0">
                  <c:v>м. Чернігів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5-D0A1-41B4-A74A-BB29A47A29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Лист2!$B$5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0A1-41B4-A74A-BB29A47A291B}"/>
            </c:ext>
          </c:extLst>
        </c:ser>
        <c:ser>
          <c:idx val="4"/>
          <c:order val="4"/>
          <c:tx>
            <c:strRef>
              <c:f>Лист2!$A$6</c:f>
              <c:strCache>
                <c:ptCount val="1"/>
                <c:pt idx="0">
                  <c:v>м. Суми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7-D0A1-41B4-A74A-BB29A47A29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b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Лист2!$B$6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0A1-41B4-A74A-BB29A47A291B}"/>
            </c:ext>
          </c:extLst>
        </c:ser>
        <c:ser>
          <c:idx val="5"/>
          <c:order val="5"/>
          <c:tx>
            <c:strRef>
              <c:f>Лист2!$A$7</c:f>
              <c:strCache>
                <c:ptCount val="1"/>
                <c:pt idx="0">
                  <c:v>м. Житомир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tx1"/>
              </a:solidFill>
            </a:ln>
            <a:effectLst/>
            <a:sp3d>
              <a:contourClr>
                <a:schemeClr val="tx1"/>
              </a:contourClr>
            </a:sp3d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D0A1-41B4-A74A-BB29A47A29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Лист2!$B$7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0A1-41B4-A74A-BB29A47A291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1"/>
        <c:gapDepth val="204"/>
        <c:shape val="box"/>
        <c:axId val="528484832"/>
        <c:axId val="528482536"/>
        <c:axId val="449338728"/>
      </c:bar3DChart>
      <c:catAx>
        <c:axId val="5284848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28482536"/>
        <c:crosses val="autoZero"/>
        <c:auto val="1"/>
        <c:lblAlgn val="ctr"/>
        <c:lblOffset val="100"/>
        <c:noMultiLvlLbl val="0"/>
      </c:catAx>
      <c:valAx>
        <c:axId val="5284825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528484832"/>
        <c:crosses val="autoZero"/>
        <c:crossBetween val="between"/>
      </c:valAx>
      <c:serAx>
        <c:axId val="44933872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8482536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Кількість звернень у розрахунку на 10 тис. населення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8BB-461D-9C0B-9018A74A6391}"/>
              </c:ext>
            </c:extLst>
          </c:dPt>
          <c:dPt>
            <c:idx val="2"/>
            <c:invertIfNegative val="0"/>
            <c:bubble3D val="0"/>
            <c:spPr>
              <a:solidFill>
                <a:schemeClr val="bg2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8BB-461D-9C0B-9018A74A6391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8BB-461D-9C0B-9018A74A6391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48BB-461D-9C0B-9018A74A6391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48BB-461D-9C0B-9018A74A639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Лист4!$A$2:$A$7</c:f>
              <c:strCache>
                <c:ptCount val="6"/>
                <c:pt idx="0">
                  <c:v>м. Миколаїв</c:v>
                </c:pt>
                <c:pt idx="1">
                  <c:v>м. Чернівці</c:v>
                </c:pt>
                <c:pt idx="2">
                  <c:v>м. Полтава</c:v>
                </c:pt>
                <c:pt idx="3">
                  <c:v>м. Чернігів</c:v>
                </c:pt>
                <c:pt idx="4">
                  <c:v>м. Суми</c:v>
                </c:pt>
                <c:pt idx="5">
                  <c:v>м. Житомир</c:v>
                </c:pt>
              </c:strCache>
            </c:strRef>
          </c:cat>
          <c:val>
            <c:numRef>
              <c:f>Лист4!$B$2:$B$7</c:f>
              <c:numCache>
                <c:formatCode>General</c:formatCode>
                <c:ptCount val="6"/>
                <c:pt idx="0">
                  <c:v>59</c:v>
                </c:pt>
                <c:pt idx="1">
                  <c:v>105</c:v>
                </c:pt>
                <c:pt idx="2">
                  <c:v>161</c:v>
                </c:pt>
                <c:pt idx="3">
                  <c:v>303</c:v>
                </c:pt>
                <c:pt idx="4">
                  <c:v>90</c:v>
                </c:pt>
                <c:pt idx="5">
                  <c:v>314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8BB-461D-9C0B-9018A74A639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423423960"/>
        <c:axId val="423425928"/>
      </c:barChart>
      <c:catAx>
        <c:axId val="4234239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3425928"/>
        <c:crosses val="autoZero"/>
        <c:auto val="1"/>
        <c:lblAlgn val="ctr"/>
        <c:lblOffset val="100"/>
        <c:noMultiLvlLbl val="0"/>
      </c:catAx>
      <c:valAx>
        <c:axId val="4234259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3423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FB03-42C8-A6B5-9DC77228A819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FB03-42C8-A6B5-9DC77228A819}"/>
              </c:ext>
            </c:extLst>
          </c:dPt>
          <c:dLbls>
            <c:dLbl>
              <c:idx val="0"/>
              <c:layout>
                <c:manualLayout>
                  <c:x val="3.6111111111111108E-2"/>
                  <c:y val="-6.018518518518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B03-42C8-A6B5-9DC77228A819}"/>
                </c:ext>
              </c:extLst>
            </c:dLbl>
            <c:dLbl>
              <c:idx val="1"/>
              <c:layout>
                <c:manualLayout>
                  <c:x val="5.2777777777777778E-2"/>
                  <c:y val="-3.7037037037037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B03-42C8-A6B5-9DC77228A819}"/>
                </c:ext>
              </c:extLst>
            </c:dLbl>
            <c:dLbl>
              <c:idx val="2"/>
              <c:layout>
                <c:manualLayout>
                  <c:x val="0.05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B03-42C8-A6B5-9DC77228A81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Лист5!$A$2:$A$4</c:f>
              <c:strCache>
                <c:ptCount val="3"/>
                <c:pt idx="0">
                  <c:v>Індивідуальні звернення</c:v>
                </c:pt>
                <c:pt idx="1">
                  <c:v>Колективні звернення</c:v>
                </c:pt>
                <c:pt idx="2">
                  <c:v>Звернення, що не підлягають розгляду, повернуті автору</c:v>
                </c:pt>
              </c:strCache>
            </c:strRef>
          </c:cat>
          <c:val>
            <c:numRef>
              <c:f>Лист5!$B$2:$B$4</c:f>
              <c:numCache>
                <c:formatCode>General</c:formatCode>
                <c:ptCount val="3"/>
                <c:pt idx="0">
                  <c:v>2173</c:v>
                </c:pt>
                <c:pt idx="1">
                  <c:v>224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B03-42C8-A6B5-9DC77228A81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04659624"/>
        <c:axId val="404660608"/>
        <c:axId val="0"/>
      </c:bar3DChart>
      <c:catAx>
        <c:axId val="404659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4660608"/>
        <c:crosses val="autoZero"/>
        <c:auto val="1"/>
        <c:lblAlgn val="ctr"/>
        <c:lblOffset val="100"/>
        <c:noMultiLvlLbl val="0"/>
      </c:catAx>
      <c:valAx>
        <c:axId val="404660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4659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1578</Words>
  <Characters>8996</Characters>
  <Application>Microsoft Office Word</Application>
  <DocSecurity>0</DocSecurity>
  <Lines>74</Lines>
  <Paragraphs>21</Paragraphs>
  <ScaleCrop>false</ScaleCrop>
  <Company/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Шабло Світлана Іванівна</dc:creator>
  <cp:keywords/>
  <dc:description/>
  <cp:lastModifiedBy>Шабло Світлана Іванівна</cp:lastModifiedBy>
  <cp:revision>2</cp:revision>
  <dcterms:created xsi:type="dcterms:W3CDTF">2018-09-26T06:45:00Z</dcterms:created>
  <dcterms:modified xsi:type="dcterms:W3CDTF">2018-09-26T06:46:00Z</dcterms:modified>
</cp:coreProperties>
</file>