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661D66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</w:t>
            </w:r>
            <w:r w:rsidR="00661D66">
              <w:rPr>
                <w:sz w:val="28"/>
                <w:szCs w:val="28"/>
              </w:rPr>
              <w:t>21.09.2021</w:t>
            </w:r>
            <w:r w:rsidRPr="008E6930">
              <w:rPr>
                <w:sz w:val="28"/>
                <w:szCs w:val="28"/>
              </w:rPr>
              <w:t xml:space="preserve">       № </w:t>
            </w:r>
            <w:r w:rsidR="00661D66">
              <w:rPr>
                <w:sz w:val="28"/>
                <w:szCs w:val="28"/>
              </w:rPr>
              <w:t xml:space="preserve">   319-кс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CE2F27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E2F27">
              <w:rPr>
                <w:b/>
                <w:bCs/>
                <w:sz w:val="28"/>
                <w:szCs w:val="28"/>
              </w:rPr>
              <w:t>вересні</w:t>
            </w:r>
            <w:r w:rsidR="00FF3209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</w:t>
      </w:r>
      <w:r w:rsidR="00FF3209">
        <w:rPr>
          <w:bCs/>
          <w:sz w:val="28"/>
          <w:szCs w:val="28"/>
        </w:rPr>
        <w:t>ської міської ради на 2021 рік» (зі змінами),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CE2F27">
        <w:rPr>
          <w:bCs/>
          <w:sz w:val="28"/>
          <w:szCs w:val="28"/>
        </w:rPr>
        <w:t xml:space="preserve">вересні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CE2F27" w:rsidRDefault="00CE2F27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Pr="00CE2F27" w:rsidRDefault="00CE2F2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Pr="00CE2F27" w:rsidRDefault="00CE2F2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661D66" w:rsidRDefault="00EE4E2C" w:rsidP="00661D66">
      <w:pPr>
        <w:rPr>
          <w:sz w:val="28"/>
          <w:szCs w:val="28"/>
        </w:rPr>
      </w:pPr>
      <w:bookmarkStart w:id="0" w:name="_GoBack"/>
      <w:bookmarkEnd w:id="0"/>
    </w:p>
    <w:sectPr w:rsidR="00EE4E2C" w:rsidRPr="00661D66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5" w:rsidRDefault="00A63CC5">
      <w:r>
        <w:separator/>
      </w:r>
    </w:p>
  </w:endnote>
  <w:endnote w:type="continuationSeparator" w:id="0">
    <w:p w:rsidR="00A63CC5" w:rsidRDefault="00A6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5" w:rsidRDefault="00A63CC5">
      <w:r>
        <w:separator/>
      </w:r>
    </w:p>
  </w:footnote>
  <w:footnote w:type="continuationSeparator" w:id="0">
    <w:p w:rsidR="00A63CC5" w:rsidRDefault="00A6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D6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21B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56C1"/>
    <w:rsid w:val="004C7AA2"/>
    <w:rsid w:val="004D2733"/>
    <w:rsid w:val="004D2D63"/>
    <w:rsid w:val="004E441A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20A"/>
    <w:rsid w:val="0064464E"/>
    <w:rsid w:val="00650960"/>
    <w:rsid w:val="00655553"/>
    <w:rsid w:val="0065587D"/>
    <w:rsid w:val="00660D18"/>
    <w:rsid w:val="00661D66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3CC5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2F27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0AD8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B46D1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99285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2</cp:revision>
  <cp:lastPrinted>2020-01-24T09:43:00Z</cp:lastPrinted>
  <dcterms:created xsi:type="dcterms:W3CDTF">2021-09-23T13:08:00Z</dcterms:created>
  <dcterms:modified xsi:type="dcterms:W3CDTF">2021-09-23T13:08:00Z</dcterms:modified>
</cp:coreProperties>
</file>