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2BC" w:rsidRDefault="00BA72BC" w:rsidP="00BA72BC">
      <w:pPr>
        <w:jc w:val="center"/>
        <w:rPr>
          <w:b/>
          <w:sz w:val="28"/>
          <w:szCs w:val="28"/>
          <w:lang w:val="uk-UA"/>
        </w:rPr>
      </w:pPr>
      <w:r>
        <w:rPr>
          <w:b/>
          <w:bCs/>
          <w:sz w:val="28"/>
          <w:szCs w:val="28"/>
          <w:lang w:val="uk-UA"/>
        </w:rPr>
        <w:t>Інформація про виконану роботу відділом за 12 місяців 2015 року</w:t>
      </w:r>
    </w:p>
    <w:p w:rsidR="00BA72BC" w:rsidRDefault="00BA72BC" w:rsidP="00BA72BC">
      <w:pPr>
        <w:jc w:val="both"/>
        <w:rPr>
          <w:bCs/>
          <w:sz w:val="28"/>
          <w:szCs w:val="28"/>
          <w:lang w:val="uk-UA"/>
        </w:rPr>
      </w:pPr>
    </w:p>
    <w:p w:rsidR="00BA72BC" w:rsidRDefault="00BA72BC" w:rsidP="00BA72BC">
      <w:pPr>
        <w:jc w:val="both"/>
        <w:rPr>
          <w:sz w:val="28"/>
          <w:szCs w:val="28"/>
          <w:lang w:val="uk-UA"/>
        </w:rPr>
      </w:pPr>
      <w:r>
        <w:rPr>
          <w:sz w:val="28"/>
          <w:szCs w:val="28"/>
          <w:lang w:val="uk-UA"/>
        </w:rPr>
        <w:t>Відділ забезпечує організацію здійснення власних і делегованих повноважень органів виконавчої влади (за належністю), визначених пунктом 1 статті 36 (крім альтернативної невійськової служби), підпунктами 1, 2 пункту „а”, підпунктами  3 та 4 пункту „б” частини першої, пункту 1 частини другої  статті 38 Закону України «Про місцеве самоврядування в Україні».</w:t>
      </w:r>
    </w:p>
    <w:p w:rsidR="00BA72BC" w:rsidRPr="00BA72BC" w:rsidRDefault="00BA72BC" w:rsidP="00BA72BC">
      <w:pPr>
        <w:jc w:val="both"/>
        <w:rPr>
          <w:sz w:val="28"/>
          <w:szCs w:val="28"/>
          <w:lang w:val="uk-UA"/>
        </w:rPr>
      </w:pPr>
    </w:p>
    <w:p w:rsidR="00BA72BC" w:rsidRDefault="00BA72BC" w:rsidP="00BA72BC">
      <w:pPr>
        <w:jc w:val="both"/>
        <w:rPr>
          <w:bCs/>
          <w:sz w:val="28"/>
          <w:szCs w:val="28"/>
          <w:lang w:val="uk-UA"/>
        </w:rPr>
      </w:pPr>
      <w:r>
        <w:rPr>
          <w:bCs/>
          <w:sz w:val="28"/>
          <w:szCs w:val="28"/>
          <w:lang w:val="uk-UA"/>
        </w:rPr>
        <w:t>Штатна чисельність відділу налічує 4 службовці, з них:</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1620"/>
      </w:tblGrid>
      <w:tr w:rsidR="00BA72BC" w:rsidTr="00BA72BC">
        <w:tc>
          <w:tcPr>
            <w:tcW w:w="8280" w:type="dxa"/>
            <w:tcBorders>
              <w:top w:val="single" w:sz="4" w:space="0" w:color="auto"/>
              <w:left w:val="single" w:sz="4" w:space="0" w:color="auto"/>
              <w:bottom w:val="single" w:sz="4" w:space="0" w:color="auto"/>
              <w:right w:val="single" w:sz="4" w:space="0" w:color="auto"/>
            </w:tcBorders>
            <w:hideMark/>
          </w:tcPr>
          <w:p w:rsidR="00BA72BC" w:rsidRDefault="00BA72BC">
            <w:pPr>
              <w:jc w:val="both"/>
              <w:rPr>
                <w:sz w:val="28"/>
                <w:szCs w:val="28"/>
                <w:lang w:val="uk-UA"/>
              </w:rPr>
            </w:pPr>
            <w:r>
              <w:rPr>
                <w:sz w:val="28"/>
                <w:szCs w:val="28"/>
                <w:lang w:val="uk-UA"/>
              </w:rPr>
              <w:t>Начальник відділу</w:t>
            </w:r>
          </w:p>
        </w:tc>
        <w:tc>
          <w:tcPr>
            <w:tcW w:w="1620" w:type="dxa"/>
            <w:tcBorders>
              <w:top w:val="single" w:sz="4" w:space="0" w:color="auto"/>
              <w:left w:val="single" w:sz="4" w:space="0" w:color="auto"/>
              <w:bottom w:val="single" w:sz="4" w:space="0" w:color="auto"/>
              <w:right w:val="single" w:sz="4" w:space="0" w:color="auto"/>
            </w:tcBorders>
            <w:hideMark/>
          </w:tcPr>
          <w:p w:rsidR="00BA72BC" w:rsidRDefault="00BA72BC">
            <w:pPr>
              <w:jc w:val="both"/>
              <w:rPr>
                <w:sz w:val="28"/>
                <w:szCs w:val="28"/>
                <w:lang w:val="uk-UA"/>
              </w:rPr>
            </w:pPr>
            <w:r>
              <w:rPr>
                <w:sz w:val="28"/>
                <w:szCs w:val="28"/>
                <w:lang w:val="uk-UA"/>
              </w:rPr>
              <w:t>1</w:t>
            </w:r>
          </w:p>
        </w:tc>
      </w:tr>
      <w:tr w:rsidR="00BA72BC" w:rsidTr="00BA72BC">
        <w:tc>
          <w:tcPr>
            <w:tcW w:w="8280" w:type="dxa"/>
            <w:tcBorders>
              <w:top w:val="single" w:sz="4" w:space="0" w:color="auto"/>
              <w:left w:val="single" w:sz="4" w:space="0" w:color="auto"/>
              <w:bottom w:val="single" w:sz="4" w:space="0" w:color="auto"/>
              <w:right w:val="single" w:sz="4" w:space="0" w:color="auto"/>
            </w:tcBorders>
            <w:hideMark/>
          </w:tcPr>
          <w:p w:rsidR="00BA72BC" w:rsidRDefault="00BA72BC">
            <w:pPr>
              <w:jc w:val="both"/>
              <w:rPr>
                <w:sz w:val="28"/>
                <w:szCs w:val="28"/>
                <w:lang w:val="uk-UA"/>
              </w:rPr>
            </w:pPr>
            <w:r>
              <w:rPr>
                <w:sz w:val="28"/>
                <w:szCs w:val="28"/>
                <w:lang w:val="uk-UA"/>
              </w:rPr>
              <w:t>Головний спеціаліст</w:t>
            </w:r>
          </w:p>
        </w:tc>
        <w:tc>
          <w:tcPr>
            <w:tcW w:w="1620" w:type="dxa"/>
            <w:tcBorders>
              <w:top w:val="single" w:sz="4" w:space="0" w:color="auto"/>
              <w:left w:val="single" w:sz="4" w:space="0" w:color="auto"/>
              <w:bottom w:val="single" w:sz="4" w:space="0" w:color="auto"/>
              <w:right w:val="single" w:sz="4" w:space="0" w:color="auto"/>
            </w:tcBorders>
            <w:hideMark/>
          </w:tcPr>
          <w:p w:rsidR="00BA72BC" w:rsidRDefault="00BA72BC">
            <w:pPr>
              <w:jc w:val="both"/>
              <w:rPr>
                <w:sz w:val="28"/>
                <w:szCs w:val="28"/>
                <w:lang w:val="uk-UA"/>
              </w:rPr>
            </w:pPr>
            <w:r>
              <w:rPr>
                <w:sz w:val="28"/>
                <w:szCs w:val="28"/>
                <w:lang w:val="uk-UA"/>
              </w:rPr>
              <w:t xml:space="preserve">2 </w:t>
            </w:r>
          </w:p>
        </w:tc>
      </w:tr>
      <w:tr w:rsidR="00BA72BC" w:rsidTr="00BA72BC">
        <w:tc>
          <w:tcPr>
            <w:tcW w:w="8280" w:type="dxa"/>
            <w:tcBorders>
              <w:top w:val="single" w:sz="4" w:space="0" w:color="auto"/>
              <w:left w:val="single" w:sz="4" w:space="0" w:color="auto"/>
              <w:bottom w:val="single" w:sz="4" w:space="0" w:color="auto"/>
              <w:right w:val="single" w:sz="4" w:space="0" w:color="auto"/>
            </w:tcBorders>
            <w:hideMark/>
          </w:tcPr>
          <w:p w:rsidR="00BA72BC" w:rsidRDefault="00BA72BC">
            <w:pPr>
              <w:jc w:val="both"/>
              <w:rPr>
                <w:sz w:val="28"/>
                <w:szCs w:val="28"/>
                <w:lang w:val="uk-UA"/>
              </w:rPr>
            </w:pPr>
            <w:r>
              <w:rPr>
                <w:sz w:val="28"/>
                <w:szCs w:val="28"/>
                <w:lang w:val="uk-UA"/>
              </w:rPr>
              <w:t>Старший інспектор</w:t>
            </w:r>
          </w:p>
        </w:tc>
        <w:tc>
          <w:tcPr>
            <w:tcW w:w="1620" w:type="dxa"/>
            <w:tcBorders>
              <w:top w:val="single" w:sz="4" w:space="0" w:color="auto"/>
              <w:left w:val="single" w:sz="4" w:space="0" w:color="auto"/>
              <w:bottom w:val="single" w:sz="4" w:space="0" w:color="auto"/>
              <w:right w:val="single" w:sz="4" w:space="0" w:color="auto"/>
            </w:tcBorders>
            <w:hideMark/>
          </w:tcPr>
          <w:p w:rsidR="00BA72BC" w:rsidRDefault="00BA72BC">
            <w:pPr>
              <w:jc w:val="both"/>
              <w:rPr>
                <w:sz w:val="28"/>
                <w:szCs w:val="28"/>
                <w:lang w:val="uk-UA"/>
              </w:rPr>
            </w:pPr>
            <w:r>
              <w:rPr>
                <w:sz w:val="28"/>
                <w:szCs w:val="28"/>
                <w:lang w:val="uk-UA"/>
              </w:rPr>
              <w:t>1</w:t>
            </w:r>
          </w:p>
        </w:tc>
      </w:tr>
    </w:tbl>
    <w:p w:rsidR="00BA72BC" w:rsidRDefault="00BA72BC" w:rsidP="00BA72BC">
      <w:pPr>
        <w:jc w:val="both"/>
        <w:rPr>
          <w:bCs/>
          <w:sz w:val="28"/>
          <w:szCs w:val="28"/>
          <w:lang w:val="en-US"/>
        </w:rPr>
      </w:pPr>
    </w:p>
    <w:p w:rsidR="00BA72BC" w:rsidRDefault="00BA72BC" w:rsidP="00BA72BC">
      <w:pPr>
        <w:ind w:firstLine="708"/>
        <w:jc w:val="both"/>
        <w:rPr>
          <w:bCs/>
          <w:sz w:val="28"/>
          <w:szCs w:val="28"/>
          <w:lang w:val="uk-UA"/>
        </w:rPr>
      </w:pPr>
      <w:r>
        <w:rPr>
          <w:bCs/>
          <w:sz w:val="28"/>
          <w:szCs w:val="28"/>
          <w:lang w:val="uk-UA"/>
        </w:rPr>
        <w:t>Упродовж 2015 року службова діяльність відділу була спрямована на виконання З</w:t>
      </w:r>
      <w:r>
        <w:rPr>
          <w:sz w:val="28"/>
          <w:szCs w:val="28"/>
          <w:lang w:val="uk-UA"/>
        </w:rPr>
        <w:t>аконів України «Про місцеве самоврядування в Україні», «Про запобігання корупції», «Про військовий обов’язок і військову службу», інших законів України, Указів Президента України, постанов Кабінету Міністрів України, рішень Сумської обласної ради, розпоряджень та доручень голови Сумської ОДА, рішень Сумської міської ради та виконавчого комітету, розпоряджень та доручень міського голови,</w:t>
      </w:r>
      <w:r>
        <w:rPr>
          <w:bCs/>
          <w:sz w:val="28"/>
          <w:szCs w:val="28"/>
          <w:lang w:val="uk-UA"/>
        </w:rPr>
        <w:t xml:space="preserve"> а також заходів, передбачених міськими цільовими програмами, програмою економічного і соціального розвитку міста Суми.</w:t>
      </w:r>
    </w:p>
    <w:p w:rsidR="00BA72BC" w:rsidRDefault="00BA72BC" w:rsidP="00BA72BC">
      <w:pPr>
        <w:ind w:firstLine="708"/>
        <w:jc w:val="both"/>
        <w:rPr>
          <w:sz w:val="28"/>
          <w:szCs w:val="28"/>
          <w:lang w:val="uk-UA"/>
        </w:rPr>
      </w:pPr>
      <w:r>
        <w:rPr>
          <w:bCs/>
          <w:sz w:val="28"/>
          <w:szCs w:val="28"/>
          <w:lang w:val="uk-UA"/>
        </w:rPr>
        <w:t xml:space="preserve">1. Спеціалістами відділу протягом поточного року підготовлено                          34 розпорядчих документи, з них: 12 рішень Сумської міської ради, 14 рішень виконавчого комітету та 8 розпоряджень міського голови, з них: – 3 з питань оборонної та мобілізаційної роботи. </w:t>
      </w:r>
      <w:r>
        <w:rPr>
          <w:sz w:val="28"/>
          <w:szCs w:val="28"/>
          <w:lang w:val="uk-UA"/>
        </w:rPr>
        <w:t>Відділом розглянуто 46 звернень від громадян міста з різних питань, проведено 16 засідань спостережної комісії при виконавчому комітеті Сумської міської ради, на яких розглянуто 94 справи відносно засуджених, проведено 1 засідання міської комісії з питань боротьби зі злочинністю та 2 засідання Ради з координації діяльності ГФ.</w:t>
      </w:r>
    </w:p>
    <w:p w:rsidR="00BA72BC" w:rsidRDefault="00BA72BC" w:rsidP="00BA72BC">
      <w:pPr>
        <w:ind w:firstLine="708"/>
        <w:jc w:val="both"/>
        <w:rPr>
          <w:sz w:val="28"/>
          <w:szCs w:val="28"/>
          <w:lang w:val="uk-UA"/>
        </w:rPr>
      </w:pPr>
      <w:r>
        <w:rPr>
          <w:sz w:val="28"/>
          <w:szCs w:val="28"/>
          <w:lang w:val="uk-UA"/>
        </w:rPr>
        <w:t>Відповідно до Регламенту роботи виконавчих органів Сумської міської ради на офіційному сайті розміщено: 18 інформаційних матеріалів про роботу спостережної комісії при виконавчому комітеті Сумської міської ради та 24 інформаційних матеріали «Про запобігання корупції».</w:t>
      </w:r>
    </w:p>
    <w:p w:rsidR="00BA72BC" w:rsidRDefault="00BA72BC" w:rsidP="00BA72BC">
      <w:pPr>
        <w:jc w:val="both"/>
        <w:rPr>
          <w:sz w:val="28"/>
          <w:szCs w:val="28"/>
          <w:lang w:val="uk-UA"/>
        </w:rPr>
      </w:pPr>
      <w:r>
        <w:rPr>
          <w:sz w:val="28"/>
          <w:szCs w:val="28"/>
          <w:lang w:val="uk-UA"/>
        </w:rPr>
        <w:tab/>
        <w:t>2. Відповідно до підпункту 2 пункту «а» частини першої, пункт 3 частини другої статті 38 Закону України «Про місцеве самоврядування в Україні» відділ сприяє діяльності правоохоронним органам та створює належні умови для служби особовому складу органів внутрішніх справ України.</w:t>
      </w:r>
    </w:p>
    <w:p w:rsidR="00BA72BC" w:rsidRDefault="00BA72BC" w:rsidP="00BA72BC">
      <w:pPr>
        <w:ind w:firstLine="708"/>
        <w:jc w:val="both"/>
        <w:rPr>
          <w:bCs/>
          <w:sz w:val="28"/>
          <w:szCs w:val="28"/>
          <w:lang w:val="uk-UA"/>
        </w:rPr>
      </w:pPr>
      <w:r>
        <w:rPr>
          <w:sz w:val="28"/>
          <w:szCs w:val="28"/>
          <w:lang w:val="uk-UA"/>
        </w:rPr>
        <w:t xml:space="preserve">Так, у 2015 році на укріплення матеріальної бази та технічного устаткування ПОГП Сумського МВ УМВС (після реорганізації Сумський ВП           (м. Суми) ГУ НП України в Сумській області) в рамках реалізації заходів міської комплексної програми профілактики правопорушень та підвищення безпеки дорожнього руху на 2013-2015 роки, з міського бюджету була надана фінансова допомога </w:t>
      </w:r>
      <w:r>
        <w:rPr>
          <w:bCs/>
          <w:sz w:val="28"/>
          <w:szCs w:val="28"/>
          <w:lang w:val="uk-UA"/>
        </w:rPr>
        <w:t xml:space="preserve">на загальну суму близько 231000 грн., яка пішла на оплату </w:t>
      </w:r>
      <w:r>
        <w:rPr>
          <w:bCs/>
          <w:sz w:val="28"/>
          <w:szCs w:val="28"/>
          <w:lang w:val="uk-UA"/>
        </w:rPr>
        <w:lastRenderedPageBreak/>
        <w:t xml:space="preserve">комунальних послуг (водопостачання, водовідведення, опалення, використання електроенергії, послуг зв’язку, система «АРМОР», страхування авто наданих в тимчасове користування). </w:t>
      </w:r>
    </w:p>
    <w:p w:rsidR="00BA72BC" w:rsidRDefault="00BA72BC" w:rsidP="00BA72BC">
      <w:pPr>
        <w:ind w:firstLine="708"/>
        <w:jc w:val="both"/>
        <w:rPr>
          <w:bCs/>
          <w:sz w:val="28"/>
          <w:szCs w:val="28"/>
          <w:lang w:val="uk-UA"/>
        </w:rPr>
      </w:pPr>
      <w:r>
        <w:rPr>
          <w:bCs/>
          <w:sz w:val="28"/>
          <w:szCs w:val="28"/>
          <w:lang w:val="uk-UA"/>
        </w:rPr>
        <w:t>Крім цього, на придбання паливно-мастильних матеріалів, ремонт службових авто, забезпечення постачання електроенергії на блок - пост по                вул. Харківській, з міського бюджету передано субвенцію Державному бюджету для Сумського МВ УМВС України в Сумській області (Сумський ВП (м. Суми) ГУ НП в Сумській області)  кошти в сумі 159320 грн.</w:t>
      </w:r>
    </w:p>
    <w:p w:rsidR="00BA72BC" w:rsidRDefault="00BA72BC" w:rsidP="00BA72BC">
      <w:pPr>
        <w:ind w:firstLine="708"/>
        <w:jc w:val="both"/>
        <w:rPr>
          <w:sz w:val="28"/>
          <w:szCs w:val="28"/>
          <w:lang w:val="uk-UA"/>
        </w:rPr>
      </w:pPr>
      <w:r>
        <w:rPr>
          <w:sz w:val="28"/>
          <w:szCs w:val="28"/>
          <w:lang w:val="uk-UA"/>
        </w:rPr>
        <w:t xml:space="preserve">Протягом 2015 року відділом проводилась робота з координації діяльності громадських формувань з охорони громадського порядку. </w:t>
      </w:r>
      <w:r>
        <w:rPr>
          <w:bCs/>
          <w:sz w:val="28"/>
          <w:szCs w:val="28"/>
          <w:lang w:val="uk-UA"/>
        </w:rPr>
        <w:t>Для з</w:t>
      </w:r>
      <w:r>
        <w:rPr>
          <w:sz w:val="28"/>
          <w:szCs w:val="28"/>
          <w:lang w:val="uk-UA"/>
        </w:rPr>
        <w:t>абезпечення функцій та повноважень громадських формувань з охорони громадського порядку на території міста, створення належних умов їх роботи, в міському бюджеті передбачені кошти на заохочення членів громадських формувань за результатами їх роботи. За рішенням Ради з координації та контролю за діяльності громадських формувань з охорони громадського порядку в м. Суми протягом поточного року здійснено фінансову підтримку 2 громадських формувань («Альфа-</w:t>
      </w:r>
      <w:proofErr w:type="spellStart"/>
      <w:r>
        <w:rPr>
          <w:sz w:val="28"/>
          <w:szCs w:val="28"/>
          <w:lang w:val="uk-UA"/>
        </w:rPr>
        <w:t>Правозахист</w:t>
      </w:r>
      <w:proofErr w:type="spellEnd"/>
      <w:r>
        <w:rPr>
          <w:sz w:val="28"/>
          <w:szCs w:val="28"/>
          <w:lang w:val="uk-UA"/>
        </w:rPr>
        <w:t>», «Шериф») на загальну суму 70000 грн.</w:t>
      </w:r>
    </w:p>
    <w:p w:rsidR="00BA72BC" w:rsidRDefault="00BA72BC" w:rsidP="00BA72BC">
      <w:pPr>
        <w:ind w:firstLine="708"/>
        <w:jc w:val="both"/>
        <w:rPr>
          <w:sz w:val="28"/>
          <w:szCs w:val="28"/>
          <w:lang w:val="uk-UA"/>
        </w:rPr>
      </w:pPr>
      <w:r>
        <w:rPr>
          <w:sz w:val="28"/>
          <w:szCs w:val="28"/>
          <w:lang w:val="uk-UA"/>
        </w:rPr>
        <w:t xml:space="preserve">3. З метою виконання повноважень в галузі оборонної роботи (пункт 1             стаття 36 Закону України «Про місцеве самоврядування в Україні») за ініціативою відділу передбачені заходи у міській програмі </w:t>
      </w:r>
      <w:r>
        <w:rPr>
          <w:bCs/>
          <w:sz w:val="28"/>
          <w:szCs w:val="28"/>
          <w:lang w:val="uk-UA"/>
        </w:rPr>
        <w:t xml:space="preserve">«Молодь міста Суми на 2013-2015 роки». </w:t>
      </w:r>
    </w:p>
    <w:p w:rsidR="00BA72BC" w:rsidRDefault="00BA72BC" w:rsidP="00BA72BC">
      <w:pPr>
        <w:ind w:firstLine="708"/>
        <w:jc w:val="both"/>
        <w:rPr>
          <w:sz w:val="28"/>
          <w:szCs w:val="28"/>
          <w:lang w:val="uk-UA"/>
        </w:rPr>
      </w:pPr>
      <w:r>
        <w:rPr>
          <w:sz w:val="28"/>
          <w:szCs w:val="28"/>
          <w:lang w:val="uk-UA"/>
        </w:rPr>
        <w:t xml:space="preserve">Для виконання показників міської програми </w:t>
      </w:r>
      <w:r>
        <w:rPr>
          <w:bCs/>
          <w:sz w:val="28"/>
          <w:szCs w:val="28"/>
          <w:lang w:val="uk-UA"/>
        </w:rPr>
        <w:t xml:space="preserve">«Молодь міста Суми на 2013-2015 роки» в частині </w:t>
      </w:r>
      <w:r>
        <w:rPr>
          <w:sz w:val="28"/>
          <w:szCs w:val="28"/>
          <w:lang w:val="uk-UA"/>
        </w:rPr>
        <w:t>забезпечення виконання Закону України «Про військовий обов’язок і військову службу» з міського бюджету передано до Державного бюджету Сумському обласному військовому комісаріату кошти в сумі 18000 грн. на створення належних умов перебування призовної молоді на призовній дільниці, забезпечення роботи призовної комісії у відповідності з вимогами чинного законодавства, забезпечення організації розшуку і доставки до призовної дільниці призовників, які ухиляються від проходження строкової військової служби (оплата транспортних послуг).</w:t>
      </w:r>
    </w:p>
    <w:p w:rsidR="00BA72BC" w:rsidRDefault="00BA72BC" w:rsidP="00BA72BC">
      <w:pPr>
        <w:jc w:val="center"/>
        <w:rPr>
          <w:sz w:val="28"/>
          <w:szCs w:val="28"/>
          <w:lang w:val="uk-UA"/>
        </w:rPr>
      </w:pPr>
      <w:r>
        <w:rPr>
          <w:sz w:val="28"/>
          <w:szCs w:val="28"/>
          <w:lang w:val="uk-UA"/>
        </w:rPr>
        <w:t>Підсумки роботи призовної компанії у 2015 році</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5"/>
        <w:gridCol w:w="1495"/>
        <w:gridCol w:w="1501"/>
      </w:tblGrid>
      <w:tr w:rsidR="00BA72BC" w:rsidTr="00BA72BC">
        <w:trPr>
          <w:trHeight w:val="368"/>
          <w:jc w:val="center"/>
        </w:trPr>
        <w:tc>
          <w:tcPr>
            <w:tcW w:w="6785" w:type="dxa"/>
            <w:vMerge w:val="restart"/>
            <w:tcBorders>
              <w:top w:val="single" w:sz="4" w:space="0" w:color="auto"/>
              <w:left w:val="single" w:sz="4" w:space="0" w:color="auto"/>
              <w:bottom w:val="single" w:sz="4" w:space="0" w:color="auto"/>
              <w:right w:val="single" w:sz="4" w:space="0" w:color="auto"/>
            </w:tcBorders>
            <w:hideMark/>
          </w:tcPr>
          <w:p w:rsidR="00BA72BC" w:rsidRDefault="00BA72BC">
            <w:pPr>
              <w:jc w:val="center"/>
              <w:rPr>
                <w:lang w:val="uk-UA"/>
              </w:rPr>
            </w:pPr>
            <w:r>
              <w:rPr>
                <w:lang w:val="uk-UA"/>
              </w:rPr>
              <w:t>Найменування відомостей</w:t>
            </w:r>
          </w:p>
        </w:tc>
        <w:tc>
          <w:tcPr>
            <w:tcW w:w="2996" w:type="dxa"/>
            <w:gridSpan w:val="2"/>
            <w:tcBorders>
              <w:top w:val="single" w:sz="4" w:space="0" w:color="auto"/>
              <w:left w:val="single" w:sz="4" w:space="0" w:color="auto"/>
              <w:bottom w:val="single" w:sz="4" w:space="0" w:color="auto"/>
              <w:right w:val="single" w:sz="4" w:space="0" w:color="auto"/>
            </w:tcBorders>
            <w:hideMark/>
          </w:tcPr>
          <w:p w:rsidR="00BA72BC" w:rsidRDefault="00BA72BC">
            <w:pPr>
              <w:jc w:val="center"/>
              <w:rPr>
                <w:lang w:val="uk-UA"/>
              </w:rPr>
            </w:pPr>
            <w:r>
              <w:rPr>
                <w:lang w:val="uk-UA"/>
              </w:rPr>
              <w:t>2015 рік</w:t>
            </w:r>
          </w:p>
        </w:tc>
      </w:tr>
      <w:tr w:rsidR="00BA72BC" w:rsidTr="00BA72B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72BC" w:rsidRDefault="00BA72BC">
            <w:pPr>
              <w:rPr>
                <w:lang w:val="uk-UA"/>
              </w:rPr>
            </w:pPr>
          </w:p>
        </w:tc>
        <w:tc>
          <w:tcPr>
            <w:tcW w:w="1495" w:type="dxa"/>
            <w:tcBorders>
              <w:top w:val="single" w:sz="4" w:space="0" w:color="auto"/>
              <w:left w:val="single" w:sz="4" w:space="0" w:color="auto"/>
              <w:bottom w:val="single" w:sz="4" w:space="0" w:color="auto"/>
              <w:right w:val="single" w:sz="4" w:space="0" w:color="auto"/>
            </w:tcBorders>
            <w:hideMark/>
          </w:tcPr>
          <w:p w:rsidR="00BA72BC" w:rsidRDefault="00BA72BC">
            <w:pPr>
              <w:jc w:val="center"/>
              <w:rPr>
                <w:lang w:val="uk-UA"/>
              </w:rPr>
            </w:pPr>
            <w:r>
              <w:rPr>
                <w:lang w:val="uk-UA"/>
              </w:rPr>
              <w:t>Весняний</w:t>
            </w:r>
          </w:p>
          <w:p w:rsidR="00BA72BC" w:rsidRDefault="00BA72BC">
            <w:pPr>
              <w:jc w:val="center"/>
              <w:rPr>
                <w:lang w:val="uk-UA"/>
              </w:rPr>
            </w:pPr>
            <w:r>
              <w:rPr>
                <w:lang w:val="uk-UA"/>
              </w:rPr>
              <w:t>призов</w:t>
            </w:r>
          </w:p>
        </w:tc>
        <w:tc>
          <w:tcPr>
            <w:tcW w:w="1501" w:type="dxa"/>
            <w:tcBorders>
              <w:top w:val="single" w:sz="4" w:space="0" w:color="auto"/>
              <w:left w:val="single" w:sz="4" w:space="0" w:color="auto"/>
              <w:bottom w:val="single" w:sz="4" w:space="0" w:color="auto"/>
              <w:right w:val="single" w:sz="4" w:space="0" w:color="auto"/>
            </w:tcBorders>
            <w:hideMark/>
          </w:tcPr>
          <w:p w:rsidR="00BA72BC" w:rsidRDefault="00BA72BC">
            <w:pPr>
              <w:jc w:val="center"/>
              <w:rPr>
                <w:lang w:val="uk-UA"/>
              </w:rPr>
            </w:pPr>
            <w:r>
              <w:rPr>
                <w:lang w:val="uk-UA"/>
              </w:rPr>
              <w:t>Осінній</w:t>
            </w:r>
          </w:p>
          <w:p w:rsidR="00BA72BC" w:rsidRDefault="00BA72BC">
            <w:pPr>
              <w:jc w:val="center"/>
              <w:rPr>
                <w:lang w:val="uk-UA"/>
              </w:rPr>
            </w:pPr>
            <w:r>
              <w:rPr>
                <w:lang w:val="uk-UA"/>
              </w:rPr>
              <w:t>призов (15.12.15)</w:t>
            </w:r>
          </w:p>
        </w:tc>
      </w:tr>
      <w:tr w:rsidR="00BA72BC" w:rsidTr="00BA72BC">
        <w:trPr>
          <w:jc w:val="center"/>
        </w:trPr>
        <w:tc>
          <w:tcPr>
            <w:tcW w:w="6785" w:type="dxa"/>
            <w:tcBorders>
              <w:top w:val="single" w:sz="4" w:space="0" w:color="auto"/>
              <w:left w:val="single" w:sz="4" w:space="0" w:color="auto"/>
              <w:bottom w:val="single" w:sz="4" w:space="0" w:color="auto"/>
              <w:right w:val="single" w:sz="4" w:space="0" w:color="auto"/>
            </w:tcBorders>
            <w:hideMark/>
          </w:tcPr>
          <w:p w:rsidR="00BA72BC" w:rsidRDefault="00BA72BC">
            <w:pPr>
              <w:jc w:val="both"/>
              <w:rPr>
                <w:lang w:val="uk-UA"/>
              </w:rPr>
            </w:pPr>
            <w:r>
              <w:rPr>
                <w:lang w:val="uk-UA"/>
              </w:rPr>
              <w:t>Плановий показник з призову до ЗС України</w:t>
            </w:r>
          </w:p>
        </w:tc>
        <w:tc>
          <w:tcPr>
            <w:tcW w:w="1495" w:type="dxa"/>
            <w:tcBorders>
              <w:top w:val="single" w:sz="4" w:space="0" w:color="auto"/>
              <w:left w:val="single" w:sz="4" w:space="0" w:color="auto"/>
              <w:bottom w:val="single" w:sz="4" w:space="0" w:color="auto"/>
              <w:right w:val="single" w:sz="4" w:space="0" w:color="auto"/>
            </w:tcBorders>
            <w:hideMark/>
          </w:tcPr>
          <w:p w:rsidR="00BA72BC" w:rsidRDefault="00BA72BC">
            <w:pPr>
              <w:jc w:val="center"/>
              <w:rPr>
                <w:lang w:val="uk-UA"/>
              </w:rPr>
            </w:pPr>
            <w:r>
              <w:rPr>
                <w:lang w:val="uk-UA"/>
              </w:rPr>
              <w:t>150</w:t>
            </w:r>
          </w:p>
        </w:tc>
        <w:tc>
          <w:tcPr>
            <w:tcW w:w="1501" w:type="dxa"/>
            <w:tcBorders>
              <w:top w:val="single" w:sz="4" w:space="0" w:color="auto"/>
              <w:left w:val="single" w:sz="4" w:space="0" w:color="auto"/>
              <w:bottom w:val="single" w:sz="4" w:space="0" w:color="auto"/>
              <w:right w:val="single" w:sz="4" w:space="0" w:color="auto"/>
            </w:tcBorders>
            <w:hideMark/>
          </w:tcPr>
          <w:p w:rsidR="00BA72BC" w:rsidRDefault="00BA72BC">
            <w:pPr>
              <w:jc w:val="center"/>
              <w:rPr>
                <w:lang w:val="uk-UA"/>
              </w:rPr>
            </w:pPr>
            <w:r>
              <w:rPr>
                <w:lang w:val="uk-UA"/>
              </w:rPr>
              <w:t>75</w:t>
            </w:r>
          </w:p>
        </w:tc>
      </w:tr>
      <w:tr w:rsidR="00BA72BC" w:rsidTr="00BA72BC">
        <w:trPr>
          <w:jc w:val="center"/>
        </w:trPr>
        <w:tc>
          <w:tcPr>
            <w:tcW w:w="6785" w:type="dxa"/>
            <w:tcBorders>
              <w:top w:val="single" w:sz="4" w:space="0" w:color="auto"/>
              <w:left w:val="single" w:sz="4" w:space="0" w:color="auto"/>
              <w:bottom w:val="single" w:sz="4" w:space="0" w:color="auto"/>
              <w:right w:val="single" w:sz="4" w:space="0" w:color="auto"/>
            </w:tcBorders>
            <w:hideMark/>
          </w:tcPr>
          <w:p w:rsidR="00BA72BC" w:rsidRDefault="00BA72BC">
            <w:pPr>
              <w:jc w:val="both"/>
              <w:rPr>
                <w:lang w:val="uk-UA"/>
              </w:rPr>
            </w:pPr>
            <w:r>
              <w:rPr>
                <w:lang w:val="uk-UA"/>
              </w:rPr>
              <w:t xml:space="preserve">Підлягало виклику на призовну комісію:       </w:t>
            </w:r>
          </w:p>
        </w:tc>
        <w:tc>
          <w:tcPr>
            <w:tcW w:w="1495" w:type="dxa"/>
            <w:tcBorders>
              <w:top w:val="single" w:sz="4" w:space="0" w:color="auto"/>
              <w:left w:val="single" w:sz="4" w:space="0" w:color="auto"/>
              <w:bottom w:val="single" w:sz="4" w:space="0" w:color="auto"/>
              <w:right w:val="single" w:sz="4" w:space="0" w:color="auto"/>
            </w:tcBorders>
            <w:hideMark/>
          </w:tcPr>
          <w:p w:rsidR="00BA72BC" w:rsidRDefault="00BA72BC">
            <w:pPr>
              <w:jc w:val="center"/>
              <w:rPr>
                <w:lang w:val="uk-UA"/>
              </w:rPr>
            </w:pPr>
            <w:r>
              <w:rPr>
                <w:lang w:val="uk-UA"/>
              </w:rPr>
              <w:t>2331</w:t>
            </w:r>
          </w:p>
        </w:tc>
        <w:tc>
          <w:tcPr>
            <w:tcW w:w="1501" w:type="dxa"/>
            <w:tcBorders>
              <w:top w:val="single" w:sz="4" w:space="0" w:color="auto"/>
              <w:left w:val="single" w:sz="4" w:space="0" w:color="auto"/>
              <w:bottom w:val="single" w:sz="4" w:space="0" w:color="auto"/>
              <w:right w:val="single" w:sz="4" w:space="0" w:color="auto"/>
            </w:tcBorders>
            <w:hideMark/>
          </w:tcPr>
          <w:p w:rsidR="00BA72BC" w:rsidRDefault="00BA72BC">
            <w:pPr>
              <w:jc w:val="center"/>
              <w:rPr>
                <w:lang w:val="uk-UA"/>
              </w:rPr>
            </w:pPr>
            <w:r>
              <w:rPr>
                <w:lang w:val="uk-UA"/>
              </w:rPr>
              <w:t>2783</w:t>
            </w:r>
          </w:p>
        </w:tc>
      </w:tr>
      <w:tr w:rsidR="00BA72BC" w:rsidTr="00BA72BC">
        <w:trPr>
          <w:jc w:val="center"/>
        </w:trPr>
        <w:tc>
          <w:tcPr>
            <w:tcW w:w="6785" w:type="dxa"/>
            <w:tcBorders>
              <w:top w:val="single" w:sz="4" w:space="0" w:color="auto"/>
              <w:left w:val="single" w:sz="4" w:space="0" w:color="auto"/>
              <w:bottom w:val="single" w:sz="4" w:space="0" w:color="auto"/>
              <w:right w:val="single" w:sz="4" w:space="0" w:color="auto"/>
            </w:tcBorders>
            <w:hideMark/>
          </w:tcPr>
          <w:p w:rsidR="00BA72BC" w:rsidRDefault="00BA72BC">
            <w:pPr>
              <w:jc w:val="both"/>
              <w:rPr>
                <w:lang w:val="uk-UA"/>
              </w:rPr>
            </w:pPr>
            <w:r>
              <w:rPr>
                <w:lang w:val="uk-UA"/>
              </w:rPr>
              <w:t>- з’явилося</w:t>
            </w:r>
          </w:p>
        </w:tc>
        <w:tc>
          <w:tcPr>
            <w:tcW w:w="1495" w:type="dxa"/>
            <w:tcBorders>
              <w:top w:val="single" w:sz="4" w:space="0" w:color="auto"/>
              <w:left w:val="single" w:sz="4" w:space="0" w:color="auto"/>
              <w:bottom w:val="single" w:sz="4" w:space="0" w:color="auto"/>
              <w:right w:val="single" w:sz="4" w:space="0" w:color="auto"/>
            </w:tcBorders>
            <w:hideMark/>
          </w:tcPr>
          <w:p w:rsidR="00BA72BC" w:rsidRDefault="00BA72BC">
            <w:pPr>
              <w:jc w:val="center"/>
              <w:rPr>
                <w:lang w:val="uk-UA"/>
              </w:rPr>
            </w:pPr>
            <w:r>
              <w:rPr>
                <w:lang w:val="uk-UA"/>
              </w:rPr>
              <w:t>466</w:t>
            </w:r>
          </w:p>
        </w:tc>
        <w:tc>
          <w:tcPr>
            <w:tcW w:w="1501" w:type="dxa"/>
            <w:tcBorders>
              <w:top w:val="single" w:sz="4" w:space="0" w:color="auto"/>
              <w:left w:val="single" w:sz="4" w:space="0" w:color="auto"/>
              <w:bottom w:val="single" w:sz="4" w:space="0" w:color="auto"/>
              <w:right w:val="single" w:sz="4" w:space="0" w:color="auto"/>
            </w:tcBorders>
            <w:hideMark/>
          </w:tcPr>
          <w:p w:rsidR="00BA72BC" w:rsidRDefault="00BA72BC">
            <w:pPr>
              <w:jc w:val="center"/>
              <w:rPr>
                <w:lang w:val="uk-UA"/>
              </w:rPr>
            </w:pPr>
            <w:r>
              <w:rPr>
                <w:lang w:val="uk-UA"/>
              </w:rPr>
              <w:t>2262</w:t>
            </w:r>
          </w:p>
        </w:tc>
      </w:tr>
      <w:tr w:rsidR="00BA72BC" w:rsidTr="00BA72BC">
        <w:trPr>
          <w:trHeight w:val="285"/>
          <w:jc w:val="center"/>
        </w:trPr>
        <w:tc>
          <w:tcPr>
            <w:tcW w:w="6785" w:type="dxa"/>
            <w:tcBorders>
              <w:top w:val="single" w:sz="4" w:space="0" w:color="auto"/>
              <w:left w:val="single" w:sz="4" w:space="0" w:color="auto"/>
              <w:bottom w:val="single" w:sz="4" w:space="0" w:color="auto"/>
              <w:right w:val="single" w:sz="4" w:space="0" w:color="auto"/>
            </w:tcBorders>
            <w:hideMark/>
          </w:tcPr>
          <w:p w:rsidR="00BA72BC" w:rsidRDefault="00BA72BC">
            <w:pPr>
              <w:jc w:val="both"/>
              <w:rPr>
                <w:lang w:val="uk-UA"/>
              </w:rPr>
            </w:pPr>
            <w:r>
              <w:rPr>
                <w:lang w:val="uk-UA"/>
              </w:rPr>
              <w:t>- не з’явилося</w:t>
            </w:r>
          </w:p>
        </w:tc>
        <w:tc>
          <w:tcPr>
            <w:tcW w:w="1495" w:type="dxa"/>
            <w:tcBorders>
              <w:top w:val="single" w:sz="4" w:space="0" w:color="auto"/>
              <w:left w:val="single" w:sz="4" w:space="0" w:color="auto"/>
              <w:bottom w:val="single" w:sz="4" w:space="0" w:color="auto"/>
              <w:right w:val="single" w:sz="4" w:space="0" w:color="auto"/>
            </w:tcBorders>
            <w:hideMark/>
          </w:tcPr>
          <w:p w:rsidR="00BA72BC" w:rsidRDefault="00BA72BC">
            <w:pPr>
              <w:jc w:val="center"/>
              <w:rPr>
                <w:lang w:val="uk-UA"/>
              </w:rPr>
            </w:pPr>
            <w:r>
              <w:rPr>
                <w:lang w:val="uk-UA"/>
              </w:rPr>
              <w:t>1865</w:t>
            </w:r>
          </w:p>
        </w:tc>
        <w:tc>
          <w:tcPr>
            <w:tcW w:w="1501" w:type="dxa"/>
            <w:tcBorders>
              <w:top w:val="single" w:sz="4" w:space="0" w:color="auto"/>
              <w:left w:val="single" w:sz="4" w:space="0" w:color="auto"/>
              <w:bottom w:val="single" w:sz="4" w:space="0" w:color="auto"/>
              <w:right w:val="single" w:sz="4" w:space="0" w:color="auto"/>
            </w:tcBorders>
            <w:hideMark/>
          </w:tcPr>
          <w:p w:rsidR="00BA72BC" w:rsidRDefault="00BA72BC">
            <w:pPr>
              <w:jc w:val="center"/>
              <w:rPr>
                <w:lang w:val="uk-UA"/>
              </w:rPr>
            </w:pPr>
            <w:r>
              <w:rPr>
                <w:lang w:val="uk-UA"/>
              </w:rPr>
              <w:t>521</w:t>
            </w:r>
          </w:p>
        </w:tc>
      </w:tr>
      <w:tr w:rsidR="00BA72BC" w:rsidTr="00BA72BC">
        <w:trPr>
          <w:jc w:val="center"/>
        </w:trPr>
        <w:tc>
          <w:tcPr>
            <w:tcW w:w="6785" w:type="dxa"/>
            <w:tcBorders>
              <w:top w:val="single" w:sz="4" w:space="0" w:color="auto"/>
              <w:left w:val="single" w:sz="4" w:space="0" w:color="auto"/>
              <w:bottom w:val="single" w:sz="4" w:space="0" w:color="auto"/>
              <w:right w:val="single" w:sz="4" w:space="0" w:color="auto"/>
            </w:tcBorders>
            <w:hideMark/>
          </w:tcPr>
          <w:p w:rsidR="00BA72BC" w:rsidRDefault="00BA72BC">
            <w:pPr>
              <w:jc w:val="both"/>
              <w:rPr>
                <w:lang w:val="uk-UA"/>
              </w:rPr>
            </w:pPr>
            <w:r>
              <w:rPr>
                <w:lang w:val="uk-UA"/>
              </w:rPr>
              <w:t xml:space="preserve">Визнано придатними до військової служби    </w:t>
            </w:r>
          </w:p>
        </w:tc>
        <w:tc>
          <w:tcPr>
            <w:tcW w:w="1495" w:type="dxa"/>
            <w:tcBorders>
              <w:top w:val="single" w:sz="4" w:space="0" w:color="auto"/>
              <w:left w:val="single" w:sz="4" w:space="0" w:color="auto"/>
              <w:bottom w:val="single" w:sz="4" w:space="0" w:color="auto"/>
              <w:right w:val="single" w:sz="4" w:space="0" w:color="auto"/>
            </w:tcBorders>
            <w:hideMark/>
          </w:tcPr>
          <w:p w:rsidR="00BA72BC" w:rsidRDefault="00BA72BC">
            <w:pPr>
              <w:jc w:val="center"/>
              <w:rPr>
                <w:lang w:val="uk-UA"/>
              </w:rPr>
            </w:pPr>
            <w:r>
              <w:rPr>
                <w:lang w:val="uk-UA"/>
              </w:rPr>
              <w:t>84</w:t>
            </w:r>
          </w:p>
        </w:tc>
        <w:tc>
          <w:tcPr>
            <w:tcW w:w="1501" w:type="dxa"/>
            <w:tcBorders>
              <w:top w:val="single" w:sz="4" w:space="0" w:color="auto"/>
              <w:left w:val="single" w:sz="4" w:space="0" w:color="auto"/>
              <w:bottom w:val="single" w:sz="4" w:space="0" w:color="auto"/>
              <w:right w:val="single" w:sz="4" w:space="0" w:color="auto"/>
            </w:tcBorders>
            <w:hideMark/>
          </w:tcPr>
          <w:p w:rsidR="00BA72BC" w:rsidRDefault="00BA72BC">
            <w:pPr>
              <w:jc w:val="center"/>
              <w:rPr>
                <w:lang w:val="uk-UA"/>
              </w:rPr>
            </w:pPr>
            <w:r>
              <w:rPr>
                <w:lang w:val="uk-UA"/>
              </w:rPr>
              <w:t>2024</w:t>
            </w:r>
          </w:p>
        </w:tc>
      </w:tr>
      <w:tr w:rsidR="00BA72BC" w:rsidTr="00BA72BC">
        <w:trPr>
          <w:jc w:val="center"/>
        </w:trPr>
        <w:tc>
          <w:tcPr>
            <w:tcW w:w="6785" w:type="dxa"/>
            <w:tcBorders>
              <w:top w:val="single" w:sz="4" w:space="0" w:color="auto"/>
              <w:left w:val="single" w:sz="4" w:space="0" w:color="auto"/>
              <w:bottom w:val="single" w:sz="4" w:space="0" w:color="auto"/>
              <w:right w:val="single" w:sz="4" w:space="0" w:color="auto"/>
            </w:tcBorders>
            <w:hideMark/>
          </w:tcPr>
          <w:p w:rsidR="00BA72BC" w:rsidRDefault="00BA72BC">
            <w:pPr>
              <w:jc w:val="both"/>
              <w:rPr>
                <w:lang w:val="uk-UA"/>
              </w:rPr>
            </w:pPr>
            <w:r>
              <w:rPr>
                <w:lang w:val="uk-UA"/>
              </w:rPr>
              <w:t xml:space="preserve">Надано відстрочку від призову </w:t>
            </w:r>
          </w:p>
        </w:tc>
        <w:tc>
          <w:tcPr>
            <w:tcW w:w="1495" w:type="dxa"/>
            <w:tcBorders>
              <w:top w:val="single" w:sz="4" w:space="0" w:color="auto"/>
              <w:left w:val="single" w:sz="4" w:space="0" w:color="auto"/>
              <w:bottom w:val="single" w:sz="4" w:space="0" w:color="auto"/>
              <w:right w:val="single" w:sz="4" w:space="0" w:color="auto"/>
            </w:tcBorders>
            <w:hideMark/>
          </w:tcPr>
          <w:p w:rsidR="00BA72BC" w:rsidRDefault="00BA72BC">
            <w:pPr>
              <w:jc w:val="center"/>
              <w:rPr>
                <w:lang w:val="uk-UA"/>
              </w:rPr>
            </w:pPr>
            <w:r>
              <w:rPr>
                <w:lang w:val="uk-UA"/>
              </w:rPr>
              <w:t>224</w:t>
            </w:r>
          </w:p>
        </w:tc>
        <w:tc>
          <w:tcPr>
            <w:tcW w:w="1501" w:type="dxa"/>
            <w:tcBorders>
              <w:top w:val="single" w:sz="4" w:space="0" w:color="auto"/>
              <w:left w:val="single" w:sz="4" w:space="0" w:color="auto"/>
              <w:bottom w:val="single" w:sz="4" w:space="0" w:color="auto"/>
              <w:right w:val="single" w:sz="4" w:space="0" w:color="auto"/>
            </w:tcBorders>
            <w:hideMark/>
          </w:tcPr>
          <w:p w:rsidR="00BA72BC" w:rsidRDefault="00BA72BC">
            <w:pPr>
              <w:jc w:val="center"/>
              <w:rPr>
                <w:lang w:val="uk-UA"/>
              </w:rPr>
            </w:pPr>
            <w:r>
              <w:rPr>
                <w:lang w:val="uk-UA"/>
              </w:rPr>
              <w:t>1267</w:t>
            </w:r>
          </w:p>
        </w:tc>
      </w:tr>
      <w:tr w:rsidR="00BA72BC" w:rsidTr="00BA72BC">
        <w:trPr>
          <w:trHeight w:val="301"/>
          <w:jc w:val="center"/>
        </w:trPr>
        <w:tc>
          <w:tcPr>
            <w:tcW w:w="6785" w:type="dxa"/>
            <w:tcBorders>
              <w:top w:val="single" w:sz="4" w:space="0" w:color="auto"/>
              <w:left w:val="single" w:sz="4" w:space="0" w:color="auto"/>
              <w:bottom w:val="single" w:sz="4" w:space="0" w:color="auto"/>
              <w:right w:val="single" w:sz="4" w:space="0" w:color="auto"/>
            </w:tcBorders>
            <w:hideMark/>
          </w:tcPr>
          <w:p w:rsidR="00BA72BC" w:rsidRDefault="00BA72BC">
            <w:pPr>
              <w:jc w:val="both"/>
              <w:rPr>
                <w:lang w:val="uk-UA"/>
              </w:rPr>
            </w:pPr>
            <w:r>
              <w:rPr>
                <w:lang w:val="uk-UA"/>
              </w:rPr>
              <w:t>Відправлено у війська</w:t>
            </w:r>
          </w:p>
        </w:tc>
        <w:tc>
          <w:tcPr>
            <w:tcW w:w="1495" w:type="dxa"/>
            <w:tcBorders>
              <w:top w:val="single" w:sz="4" w:space="0" w:color="auto"/>
              <w:left w:val="single" w:sz="4" w:space="0" w:color="auto"/>
              <w:bottom w:val="single" w:sz="4" w:space="0" w:color="auto"/>
              <w:right w:val="single" w:sz="4" w:space="0" w:color="auto"/>
            </w:tcBorders>
            <w:hideMark/>
          </w:tcPr>
          <w:p w:rsidR="00BA72BC" w:rsidRDefault="00BA72BC">
            <w:pPr>
              <w:jc w:val="center"/>
              <w:rPr>
                <w:lang w:val="uk-UA"/>
              </w:rPr>
            </w:pPr>
            <w:r>
              <w:rPr>
                <w:lang w:val="uk-UA"/>
              </w:rPr>
              <w:t>82 (54,6 %)</w:t>
            </w:r>
          </w:p>
        </w:tc>
        <w:tc>
          <w:tcPr>
            <w:tcW w:w="1501" w:type="dxa"/>
            <w:tcBorders>
              <w:top w:val="single" w:sz="4" w:space="0" w:color="auto"/>
              <w:left w:val="single" w:sz="4" w:space="0" w:color="auto"/>
              <w:bottom w:val="single" w:sz="4" w:space="0" w:color="auto"/>
              <w:right w:val="single" w:sz="4" w:space="0" w:color="auto"/>
            </w:tcBorders>
            <w:hideMark/>
          </w:tcPr>
          <w:p w:rsidR="00BA72BC" w:rsidRDefault="00BA72BC">
            <w:pPr>
              <w:jc w:val="center"/>
              <w:rPr>
                <w:lang w:val="uk-UA"/>
              </w:rPr>
            </w:pPr>
            <w:r>
              <w:rPr>
                <w:lang w:val="uk-UA"/>
              </w:rPr>
              <w:t>54 (72%)</w:t>
            </w:r>
          </w:p>
        </w:tc>
      </w:tr>
      <w:tr w:rsidR="00BA72BC" w:rsidTr="00BA72BC">
        <w:trPr>
          <w:jc w:val="center"/>
        </w:trPr>
        <w:tc>
          <w:tcPr>
            <w:tcW w:w="6785" w:type="dxa"/>
            <w:tcBorders>
              <w:top w:val="single" w:sz="4" w:space="0" w:color="auto"/>
              <w:left w:val="single" w:sz="4" w:space="0" w:color="auto"/>
              <w:bottom w:val="single" w:sz="4" w:space="0" w:color="auto"/>
              <w:right w:val="single" w:sz="4" w:space="0" w:color="auto"/>
            </w:tcBorders>
            <w:hideMark/>
          </w:tcPr>
          <w:p w:rsidR="00BA72BC" w:rsidRDefault="00BA72BC">
            <w:pPr>
              <w:jc w:val="both"/>
              <w:rPr>
                <w:lang w:val="uk-UA"/>
              </w:rPr>
            </w:pPr>
            <w:r>
              <w:rPr>
                <w:lang w:val="uk-UA"/>
              </w:rPr>
              <w:t xml:space="preserve">Знято з військового обліку </w:t>
            </w:r>
          </w:p>
        </w:tc>
        <w:tc>
          <w:tcPr>
            <w:tcW w:w="1495" w:type="dxa"/>
            <w:tcBorders>
              <w:top w:val="single" w:sz="4" w:space="0" w:color="auto"/>
              <w:left w:val="single" w:sz="4" w:space="0" w:color="auto"/>
              <w:bottom w:val="single" w:sz="4" w:space="0" w:color="auto"/>
              <w:right w:val="single" w:sz="4" w:space="0" w:color="auto"/>
            </w:tcBorders>
            <w:hideMark/>
          </w:tcPr>
          <w:p w:rsidR="00BA72BC" w:rsidRDefault="00BA72BC">
            <w:pPr>
              <w:jc w:val="center"/>
              <w:rPr>
                <w:lang w:val="uk-UA"/>
              </w:rPr>
            </w:pPr>
            <w:r>
              <w:rPr>
                <w:lang w:val="uk-UA"/>
              </w:rPr>
              <w:t>82</w:t>
            </w:r>
          </w:p>
        </w:tc>
        <w:tc>
          <w:tcPr>
            <w:tcW w:w="1501" w:type="dxa"/>
            <w:tcBorders>
              <w:top w:val="single" w:sz="4" w:space="0" w:color="auto"/>
              <w:left w:val="single" w:sz="4" w:space="0" w:color="auto"/>
              <w:bottom w:val="single" w:sz="4" w:space="0" w:color="auto"/>
              <w:right w:val="single" w:sz="4" w:space="0" w:color="auto"/>
            </w:tcBorders>
            <w:hideMark/>
          </w:tcPr>
          <w:p w:rsidR="00BA72BC" w:rsidRDefault="00BA72BC">
            <w:pPr>
              <w:jc w:val="center"/>
              <w:rPr>
                <w:lang w:val="uk-UA"/>
              </w:rPr>
            </w:pPr>
            <w:r>
              <w:rPr>
                <w:lang w:val="uk-UA"/>
              </w:rPr>
              <w:t>164</w:t>
            </w:r>
          </w:p>
        </w:tc>
      </w:tr>
    </w:tbl>
    <w:p w:rsidR="00BA72BC" w:rsidRDefault="00BA72BC" w:rsidP="00BA72BC">
      <w:pPr>
        <w:jc w:val="both"/>
        <w:rPr>
          <w:sz w:val="28"/>
          <w:szCs w:val="28"/>
          <w:lang w:val="uk-UA"/>
        </w:rPr>
      </w:pPr>
      <w:r>
        <w:rPr>
          <w:sz w:val="28"/>
          <w:szCs w:val="28"/>
          <w:lang w:val="uk-UA"/>
        </w:rPr>
        <w:t>Заходи з оборонної та мобілізаційної підготовки</w:t>
      </w:r>
    </w:p>
    <w:p w:rsidR="00BA72BC" w:rsidRDefault="00BA72BC" w:rsidP="00BA72BC">
      <w:pPr>
        <w:jc w:val="both"/>
        <w:rPr>
          <w:sz w:val="28"/>
          <w:szCs w:val="28"/>
          <w:lang w:val="uk-UA"/>
        </w:rPr>
      </w:pPr>
      <w:r>
        <w:rPr>
          <w:bCs/>
          <w:sz w:val="28"/>
          <w:szCs w:val="28"/>
          <w:lang w:val="uk-UA"/>
        </w:rPr>
        <w:lastRenderedPageBreak/>
        <w:t xml:space="preserve">4. З метою оповіщення </w:t>
      </w:r>
      <w:proofErr w:type="spellStart"/>
      <w:r>
        <w:rPr>
          <w:bCs/>
          <w:sz w:val="28"/>
          <w:szCs w:val="28"/>
          <w:lang w:val="uk-UA"/>
        </w:rPr>
        <w:t>військовозабов`язаних</w:t>
      </w:r>
      <w:proofErr w:type="spellEnd"/>
      <w:r>
        <w:rPr>
          <w:bCs/>
          <w:sz w:val="28"/>
          <w:szCs w:val="28"/>
          <w:lang w:val="uk-UA"/>
        </w:rPr>
        <w:t xml:space="preserve"> на території міста Суми відділом підготовлено розпорядження міського голови від 12.02.2015 № 29-Р, яким було передбачено </w:t>
      </w:r>
      <w:r>
        <w:rPr>
          <w:sz w:val="28"/>
          <w:szCs w:val="28"/>
          <w:lang w:val="uk-UA"/>
        </w:rPr>
        <w:t>забезпечити безкоштовний проїзд в тролейбусах та автобусах КП «</w:t>
      </w:r>
      <w:proofErr w:type="spellStart"/>
      <w:r>
        <w:rPr>
          <w:sz w:val="28"/>
          <w:szCs w:val="28"/>
          <w:lang w:val="uk-UA"/>
        </w:rPr>
        <w:t>Електроавтотранс</w:t>
      </w:r>
      <w:proofErr w:type="spellEnd"/>
      <w:r>
        <w:rPr>
          <w:sz w:val="28"/>
          <w:szCs w:val="28"/>
          <w:lang w:val="uk-UA"/>
        </w:rPr>
        <w:t xml:space="preserve">» Сумської міської ради особам, задіяним Сумським міським військовим комісаріатом для оповіщення військовозобов’язаних в період проведення мобілізації. </w:t>
      </w:r>
    </w:p>
    <w:p w:rsidR="00BA72BC" w:rsidRDefault="00BA72BC" w:rsidP="00BA72BC">
      <w:pPr>
        <w:ind w:firstLine="708"/>
        <w:jc w:val="both"/>
        <w:rPr>
          <w:sz w:val="28"/>
          <w:szCs w:val="28"/>
          <w:lang w:val="uk-UA"/>
        </w:rPr>
      </w:pPr>
      <w:r>
        <w:rPr>
          <w:bCs/>
          <w:sz w:val="28"/>
          <w:szCs w:val="28"/>
          <w:lang w:val="uk-UA"/>
        </w:rPr>
        <w:t xml:space="preserve">З метою забезпечення </w:t>
      </w:r>
      <w:r>
        <w:rPr>
          <w:sz w:val="28"/>
          <w:szCs w:val="28"/>
          <w:lang w:val="uk-UA"/>
        </w:rPr>
        <w:t xml:space="preserve">мобілізаційної готовності підприємств, організацій та установ міста Суми до поставки людських та транспортних ресурсів до Збройних Сил України, відділом підготовлено рішення виконавчого комітету Сумської міської ради від 17.03.2015 № 170. </w:t>
      </w:r>
    </w:p>
    <w:p w:rsidR="00BA72BC" w:rsidRDefault="00BA72BC" w:rsidP="00BA72BC">
      <w:pPr>
        <w:ind w:firstLine="708"/>
        <w:jc w:val="both"/>
        <w:rPr>
          <w:sz w:val="28"/>
          <w:szCs w:val="28"/>
          <w:lang w:val="uk-UA"/>
        </w:rPr>
      </w:pPr>
      <w:r>
        <w:rPr>
          <w:bCs/>
          <w:sz w:val="28"/>
          <w:szCs w:val="28"/>
          <w:lang w:val="uk-UA"/>
        </w:rPr>
        <w:t xml:space="preserve">З метою забезпечення проведення заходів з територіальної оборони на території міста, </w:t>
      </w:r>
      <w:r>
        <w:rPr>
          <w:sz w:val="28"/>
          <w:szCs w:val="28"/>
          <w:lang w:val="uk-UA"/>
        </w:rPr>
        <w:t xml:space="preserve">відділом підготовлено </w:t>
      </w:r>
      <w:r>
        <w:rPr>
          <w:bCs/>
          <w:sz w:val="28"/>
          <w:szCs w:val="28"/>
          <w:lang w:val="uk-UA"/>
        </w:rPr>
        <w:t>розпорядження міського голови від 03.06.2015 № 144-Р «</w:t>
      </w:r>
      <w:r>
        <w:rPr>
          <w:sz w:val="28"/>
          <w:szCs w:val="28"/>
          <w:lang w:val="uk-UA"/>
        </w:rPr>
        <w:t xml:space="preserve">Про забезпечення проведення командно-штабного навчання з територіальної оборони». </w:t>
      </w:r>
    </w:p>
    <w:p w:rsidR="00BA72BC" w:rsidRDefault="00BA72BC" w:rsidP="00BA72BC">
      <w:pPr>
        <w:ind w:firstLine="708"/>
        <w:jc w:val="both"/>
        <w:rPr>
          <w:bCs/>
          <w:sz w:val="28"/>
          <w:szCs w:val="28"/>
          <w:lang w:val="uk-UA"/>
        </w:rPr>
      </w:pPr>
      <w:r>
        <w:rPr>
          <w:sz w:val="28"/>
          <w:szCs w:val="28"/>
          <w:lang w:val="uk-UA"/>
        </w:rPr>
        <w:t xml:space="preserve">Співробітники відділу, </w:t>
      </w:r>
      <w:r>
        <w:rPr>
          <w:bCs/>
          <w:sz w:val="28"/>
          <w:szCs w:val="28"/>
          <w:lang w:val="uk-UA"/>
        </w:rPr>
        <w:t xml:space="preserve">структурних підрозділів та комунальних підприємств Сумської міської ради </w:t>
      </w:r>
      <w:r>
        <w:rPr>
          <w:sz w:val="28"/>
          <w:szCs w:val="28"/>
          <w:lang w:val="uk-UA"/>
        </w:rPr>
        <w:t xml:space="preserve">прийняли участь </w:t>
      </w:r>
      <w:r>
        <w:rPr>
          <w:bCs/>
          <w:sz w:val="28"/>
          <w:szCs w:val="28"/>
          <w:lang w:val="uk-UA"/>
        </w:rPr>
        <w:t>в організації та проведенні КШН з загонами оборони, які проходили на території міста Суми з  5 по 11 червня 2015 року.</w:t>
      </w:r>
    </w:p>
    <w:p w:rsidR="00BA72BC" w:rsidRDefault="00BA72BC" w:rsidP="00BA72BC">
      <w:pPr>
        <w:ind w:firstLine="708"/>
        <w:jc w:val="both"/>
        <w:rPr>
          <w:bCs/>
          <w:sz w:val="28"/>
          <w:szCs w:val="28"/>
          <w:lang w:val="uk-UA"/>
        </w:rPr>
      </w:pPr>
      <w:r>
        <w:rPr>
          <w:bCs/>
          <w:sz w:val="28"/>
          <w:szCs w:val="28"/>
          <w:lang w:val="uk-UA"/>
        </w:rPr>
        <w:t xml:space="preserve">З метою зміцнення матеріально-технічної бази військових формувань Збройних Сил України розташованих на території м. Суми, надання допомоги в забезпеченні військовослужбовців засобами індивідуального захисту, із міського бюджету було передано Державному бюджету для: в/ч А 1476, в/ч 2260, в/ч 3051 НГ України, підрозділи міліції Сумського МВ УМВС, </w:t>
      </w:r>
      <w:r>
        <w:rPr>
          <w:sz w:val="28"/>
          <w:szCs w:val="28"/>
          <w:lang w:val="uk-UA"/>
        </w:rPr>
        <w:t xml:space="preserve">в/ч В 0425 смт. </w:t>
      </w:r>
      <w:proofErr w:type="spellStart"/>
      <w:r>
        <w:rPr>
          <w:sz w:val="28"/>
          <w:szCs w:val="28"/>
          <w:lang w:val="uk-UA"/>
        </w:rPr>
        <w:t>Стецьківка</w:t>
      </w:r>
      <w:proofErr w:type="spellEnd"/>
      <w:r>
        <w:rPr>
          <w:sz w:val="28"/>
          <w:szCs w:val="28"/>
          <w:lang w:val="uk-UA"/>
        </w:rPr>
        <w:t xml:space="preserve"> </w:t>
      </w:r>
      <w:r>
        <w:rPr>
          <w:bCs/>
          <w:sz w:val="28"/>
          <w:szCs w:val="28"/>
          <w:lang w:val="uk-UA"/>
        </w:rPr>
        <w:t xml:space="preserve">кошти на загальну суму 1 714 000 грн. </w:t>
      </w:r>
    </w:p>
    <w:p w:rsidR="00BA72BC" w:rsidRDefault="00BA72BC" w:rsidP="00BA72BC">
      <w:pPr>
        <w:jc w:val="both"/>
        <w:rPr>
          <w:bCs/>
          <w:sz w:val="28"/>
          <w:szCs w:val="28"/>
          <w:lang w:val="uk-UA"/>
        </w:rPr>
      </w:pPr>
    </w:p>
    <w:p w:rsidR="00BA72BC" w:rsidRDefault="00BA72BC" w:rsidP="00BA72BC">
      <w:pPr>
        <w:jc w:val="both"/>
        <w:rPr>
          <w:bCs/>
          <w:sz w:val="28"/>
          <w:szCs w:val="28"/>
          <w:lang w:val="uk-UA"/>
        </w:rPr>
      </w:pPr>
      <w:r>
        <w:rPr>
          <w:bCs/>
          <w:sz w:val="28"/>
          <w:szCs w:val="28"/>
          <w:lang w:val="uk-UA"/>
        </w:rPr>
        <w:t>Взаємодія з Управлінням служби безпеки України в Сумській області</w:t>
      </w:r>
    </w:p>
    <w:p w:rsidR="00BA72BC" w:rsidRDefault="00BA72BC" w:rsidP="00BA72BC">
      <w:pPr>
        <w:jc w:val="both"/>
        <w:rPr>
          <w:sz w:val="28"/>
          <w:szCs w:val="28"/>
          <w:lang w:val="uk-UA"/>
        </w:rPr>
      </w:pPr>
      <w:r>
        <w:rPr>
          <w:sz w:val="28"/>
          <w:szCs w:val="28"/>
          <w:lang w:val="uk-UA"/>
        </w:rPr>
        <w:t>5. З метою ефективної реалізації заходів, спрямованих на недопущення здійснення диверсійних і терористичних актів на об’єктах з масовим перебуванням громадян, відповідно до Закону України «Про боротьбу з тероризмом», відділом підготовлено розпорядження міського голови                         від 13.07.2015 № 176-Р «Про заходи щодо розробки паспортів антитерористичної захищеності адміністративних будівель Сумської міської ради».</w:t>
      </w:r>
    </w:p>
    <w:p w:rsidR="00BA72BC" w:rsidRDefault="00BA72BC" w:rsidP="00BA72BC">
      <w:pPr>
        <w:jc w:val="both"/>
        <w:rPr>
          <w:sz w:val="28"/>
          <w:szCs w:val="28"/>
          <w:lang w:val="uk-UA"/>
        </w:rPr>
      </w:pPr>
    </w:p>
    <w:p w:rsidR="00BA72BC" w:rsidRDefault="00BA72BC" w:rsidP="00BA72BC">
      <w:pPr>
        <w:jc w:val="both"/>
        <w:rPr>
          <w:sz w:val="28"/>
          <w:szCs w:val="28"/>
          <w:lang w:val="uk-UA"/>
        </w:rPr>
      </w:pPr>
      <w:r>
        <w:rPr>
          <w:sz w:val="28"/>
          <w:szCs w:val="28"/>
          <w:lang w:val="uk-UA"/>
        </w:rPr>
        <w:t>Сприяння уповноваженим органам у боротьбі з корупцією</w:t>
      </w:r>
    </w:p>
    <w:p w:rsidR="00BA72BC" w:rsidRDefault="00BA72BC" w:rsidP="00BA72BC">
      <w:pPr>
        <w:jc w:val="both"/>
        <w:rPr>
          <w:sz w:val="28"/>
          <w:szCs w:val="28"/>
          <w:lang w:val="uk-UA"/>
        </w:rPr>
      </w:pPr>
      <w:r>
        <w:rPr>
          <w:sz w:val="28"/>
          <w:szCs w:val="28"/>
          <w:lang w:val="uk-UA"/>
        </w:rPr>
        <w:t>6. З метою реалізації антикорупційного законодавства, відділом розроблені заходи щодо реалізації державної антикорупційної політики в структурних підрозділах Сумської міської ради (рішення ВК від 17.02.15 № 69) та утворена міська координаційна рада з питань запобігання та протидії корупції в структурних підрозділах Сумської міської ради (рішення ВК від 15.11.11 № 711).</w:t>
      </w:r>
    </w:p>
    <w:p w:rsidR="00BA72BC" w:rsidRDefault="00BA72BC" w:rsidP="00BA72BC">
      <w:pPr>
        <w:jc w:val="both"/>
        <w:rPr>
          <w:sz w:val="28"/>
          <w:szCs w:val="28"/>
          <w:lang w:val="uk-UA"/>
        </w:rPr>
      </w:pPr>
      <w:r>
        <w:rPr>
          <w:sz w:val="28"/>
          <w:szCs w:val="28"/>
          <w:lang w:val="uk-UA"/>
        </w:rPr>
        <w:t xml:space="preserve">З метою отримання інформації про корупційні правопорушення, вчинені посадовими особами органів місцевого самоврядування, періодично на дошках об’яв у місцях скупчення громадян розміщується інформація з </w:t>
      </w:r>
      <w:r>
        <w:rPr>
          <w:sz w:val="28"/>
          <w:szCs w:val="28"/>
          <w:lang w:val="uk-UA"/>
        </w:rPr>
        <w:lastRenderedPageBreak/>
        <w:t xml:space="preserve">номерами телефонів спеціально уповноважених суб’єктів у сфері протидії корупції. </w:t>
      </w:r>
    </w:p>
    <w:p w:rsidR="00BA72BC" w:rsidRDefault="00BA72BC" w:rsidP="00BA72BC">
      <w:pPr>
        <w:jc w:val="both"/>
        <w:rPr>
          <w:sz w:val="28"/>
          <w:szCs w:val="28"/>
          <w:lang w:val="uk-UA"/>
        </w:rPr>
      </w:pPr>
      <w:r>
        <w:rPr>
          <w:sz w:val="28"/>
          <w:szCs w:val="28"/>
          <w:lang w:val="uk-UA"/>
        </w:rPr>
        <w:t>Крім цього, з метою отримання від громадян інформації про корупційні правопорушення, діє телефон «Довіри».</w:t>
      </w:r>
    </w:p>
    <w:p w:rsidR="00BA72BC" w:rsidRDefault="00BA72BC" w:rsidP="00BA72BC">
      <w:pPr>
        <w:jc w:val="both"/>
        <w:rPr>
          <w:sz w:val="28"/>
          <w:szCs w:val="28"/>
          <w:lang w:val="uk-UA"/>
        </w:rPr>
      </w:pPr>
    </w:p>
    <w:p w:rsidR="00BA72BC" w:rsidRDefault="00BA72BC" w:rsidP="00BA72BC">
      <w:pPr>
        <w:ind w:firstLine="708"/>
        <w:jc w:val="both"/>
        <w:rPr>
          <w:sz w:val="28"/>
          <w:szCs w:val="28"/>
          <w:lang w:val="uk-UA"/>
        </w:rPr>
      </w:pPr>
      <w:r>
        <w:rPr>
          <w:sz w:val="28"/>
          <w:szCs w:val="28"/>
          <w:lang w:val="uk-UA"/>
        </w:rPr>
        <w:t xml:space="preserve">З метою формування негативного ставлення громадян до корупційних проявів, а також інформування населення міста про заходи, які вживаються в органах місцевого самоврядування з метою запобігання та протидії корупції на інформаційному порталі Сумської міської ради запроваджена та діє рубрика «Запобігання проявам корупції». </w:t>
      </w:r>
    </w:p>
    <w:p w:rsidR="00CC32C2" w:rsidRPr="00BA72BC" w:rsidRDefault="00CC32C2">
      <w:pPr>
        <w:rPr>
          <w:lang w:val="uk-UA"/>
        </w:rPr>
      </w:pPr>
      <w:bookmarkStart w:id="0" w:name="_GoBack"/>
      <w:bookmarkEnd w:id="0"/>
    </w:p>
    <w:sectPr w:rsidR="00CC32C2" w:rsidRPr="00BA7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27"/>
    <w:rsid w:val="00385D27"/>
    <w:rsid w:val="00BA72BC"/>
    <w:rsid w:val="00CC3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E12D5-7994-4C38-98A8-AE87F8A1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2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4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7185</Characters>
  <Application>Microsoft Office Word</Application>
  <DocSecurity>0</DocSecurity>
  <Lines>59</Lines>
  <Paragraphs>16</Paragraphs>
  <ScaleCrop>false</ScaleCrop>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Бобохіна Аліна Вікторівна</dc:creator>
  <cp:keywords/>
  <dc:description/>
  <cp:lastModifiedBy>Бобохіна Аліна Вікторівна</cp:lastModifiedBy>
  <cp:revision>2</cp:revision>
  <dcterms:created xsi:type="dcterms:W3CDTF">2017-08-03T06:17:00Z</dcterms:created>
  <dcterms:modified xsi:type="dcterms:W3CDTF">2017-08-03T06:18:00Z</dcterms:modified>
</cp:coreProperties>
</file>