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3A" w:rsidRPr="0000733A" w:rsidRDefault="0000733A" w:rsidP="00007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40"/>
          <w:szCs w:val="40"/>
          <w:lang w:eastAsia="uk-UA"/>
        </w:rPr>
      </w:pPr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  <w:t xml:space="preserve">Звіт </w:t>
      </w:r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 xml:space="preserve">депутата </w:t>
      </w:r>
      <w:proofErr w:type="spellStart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>Сумської</w:t>
      </w:r>
      <w:proofErr w:type="spellEnd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 xml:space="preserve"> </w:t>
      </w:r>
      <w:proofErr w:type="spellStart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>міської</w:t>
      </w:r>
      <w:proofErr w:type="spellEnd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 xml:space="preserve"> ради </w:t>
      </w:r>
      <w:proofErr w:type="spellStart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>Губської</w:t>
      </w:r>
      <w:proofErr w:type="spellEnd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 xml:space="preserve"> </w:t>
      </w:r>
      <w:proofErr w:type="spellStart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>Ірини</w:t>
      </w:r>
      <w:proofErr w:type="spellEnd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 xml:space="preserve"> </w:t>
      </w:r>
      <w:proofErr w:type="spellStart"/>
      <w:r w:rsidRPr="0000733A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>Олексіївни</w:t>
      </w:r>
      <w:proofErr w:type="spellEnd"/>
      <w:r w:rsidRPr="00322565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val="ru-RU" w:eastAsia="uk-UA"/>
        </w:rPr>
        <w:t xml:space="preserve"> </w:t>
      </w:r>
      <w:r w:rsidR="007C2F70"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  <w:t>за 2017 рік</w:t>
      </w:r>
    </w:p>
    <w:p w:rsidR="0000733A" w:rsidRPr="0000733A" w:rsidRDefault="0000733A" w:rsidP="00007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40"/>
          <w:szCs w:val="40"/>
          <w:lang w:eastAsia="uk-UA"/>
        </w:rPr>
      </w:pPr>
      <w:r w:rsidRPr="0000733A">
        <w:rPr>
          <w:rFonts w:ascii="Arial" w:eastAsia="Times New Roman" w:hAnsi="Arial" w:cs="Arial"/>
          <w:color w:val="636363"/>
          <w:sz w:val="40"/>
          <w:szCs w:val="40"/>
          <w:lang w:eastAsia="uk-UA"/>
        </w:rPr>
        <w:t> </w:t>
      </w:r>
    </w:p>
    <w:p w:rsidR="0000733A" w:rsidRPr="0000733A" w:rsidRDefault="0000733A" w:rsidP="0000733A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636363"/>
          <w:sz w:val="32"/>
          <w:szCs w:val="32"/>
        </w:rPr>
      </w:pPr>
      <w:r w:rsidRPr="0000733A">
        <w:rPr>
          <w:rFonts w:ascii="Arial" w:eastAsia="Times New Roman" w:hAnsi="Arial" w:cs="Arial"/>
          <w:color w:val="636363"/>
          <w:sz w:val="40"/>
          <w:szCs w:val="40"/>
          <w:lang w:eastAsia="uk-UA"/>
        </w:rPr>
        <w:t> </w:t>
      </w:r>
      <w:r w:rsidRPr="0000733A">
        <w:rPr>
          <w:rFonts w:ascii="Arial" w:eastAsia="Times New Roman" w:hAnsi="Arial" w:cs="Arial"/>
          <w:b/>
          <w:bCs/>
          <w:color w:val="636363"/>
          <w:sz w:val="32"/>
          <w:szCs w:val="32"/>
        </w:rPr>
        <w:t>Робота в комісіях, на засіданнях сесії, з виборцями:</w:t>
      </w:r>
      <w:r w:rsidRPr="0000733A">
        <w:rPr>
          <w:rFonts w:ascii="Arial" w:eastAsia="Times New Roman" w:hAnsi="Arial" w:cs="Arial"/>
          <w:color w:val="636363"/>
          <w:sz w:val="32"/>
          <w:szCs w:val="32"/>
        </w:rPr>
        <w:t xml:space="preserve"> </w:t>
      </w:r>
    </w:p>
    <w:p w:rsidR="0000733A" w:rsidRPr="0000733A" w:rsidRDefault="0000733A" w:rsidP="0000733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Член постійної комісії міської ради з питань 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 </w:t>
      </w:r>
    </w:p>
    <w:p w:rsidR="001A1E71" w:rsidRDefault="001A1E71" w:rsidP="001A1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Брала участь у</w:t>
      </w:r>
      <w:r w:rsidR="0000733A" w:rsidRPr="0000733A">
        <w:rPr>
          <w:rFonts w:ascii="Arial" w:eastAsia="Times New Roman" w:hAnsi="Arial" w:cs="Arial"/>
          <w:color w:val="636363"/>
          <w:sz w:val="32"/>
          <w:szCs w:val="32"/>
          <w:lang w:val="ru-RU" w:eastAsia="uk-UA"/>
        </w:rPr>
        <w:t xml:space="preserve"> </w:t>
      </w:r>
      <w:r w:rsidR="0000733A"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роботі 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комісії</w:t>
      </w:r>
      <w:r w:rsidRP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і</w:t>
      </w:r>
      <w:r w:rsidRP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з впорядкування питань щодо встановлення будинкових вузлів обліку природного газу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та </w:t>
      </w:r>
      <w:r w:rsidR="00854B9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у складі  робочої групи 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з питань </w:t>
      </w:r>
      <w:r w:rsidR="006644A2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розробки правил </w:t>
      </w:r>
      <w:r w:rsidR="00854B9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додержання 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тиші</w:t>
      </w:r>
      <w:r w:rsidR="00D33585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у м. Суми.</w:t>
      </w:r>
    </w:p>
    <w:p w:rsidR="0000733A" w:rsidRPr="0000733A" w:rsidRDefault="0000733A" w:rsidP="00282ACD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 w:rsidRP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Із 20 сесій міської ради у 2017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році була присутня на 1</w:t>
      </w:r>
      <w:r w:rsidRPr="001A1E71">
        <w:rPr>
          <w:rFonts w:ascii="Arial" w:eastAsia="Times New Roman" w:hAnsi="Arial" w:cs="Arial"/>
          <w:color w:val="636363"/>
          <w:sz w:val="32"/>
          <w:szCs w:val="32"/>
          <w:lang w:val="ru-RU" w:eastAsia="uk-UA"/>
        </w:rPr>
        <w:t>9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.</w:t>
      </w:r>
    </w:p>
    <w:p w:rsidR="0000733A" w:rsidRPr="0000733A" w:rsidRDefault="0000733A" w:rsidP="0000733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Із </w:t>
      </w:r>
      <w:r>
        <w:rPr>
          <w:rFonts w:ascii="Arial" w:eastAsia="Times New Roman" w:hAnsi="Arial" w:cs="Arial"/>
          <w:color w:val="636363"/>
          <w:sz w:val="32"/>
          <w:szCs w:val="32"/>
          <w:lang w:val="ru-RU" w:eastAsia="uk-UA"/>
        </w:rPr>
        <w:t>26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засідань постійної комісії міської ради  брала участь  в </w:t>
      </w:r>
      <w:r>
        <w:rPr>
          <w:rFonts w:ascii="Arial" w:eastAsia="Times New Roman" w:hAnsi="Arial" w:cs="Arial"/>
          <w:color w:val="636363"/>
          <w:sz w:val="32"/>
          <w:szCs w:val="32"/>
          <w:lang w:val="ru-RU" w:eastAsia="uk-UA"/>
        </w:rPr>
        <w:t>23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, на</w:t>
      </w:r>
      <w:r w:rsidR="007C2F70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яких було розглянуто  400 пита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нь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. </w:t>
      </w:r>
    </w:p>
    <w:p w:rsidR="0000733A" w:rsidRPr="0000733A" w:rsidRDefault="0000733A" w:rsidP="0000733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За 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12 місяців 2017 року здійснила 62 прийоми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 виборців у громадській приймальні. </w:t>
      </w:r>
    </w:p>
    <w:p w:rsidR="0000733A" w:rsidRPr="0000733A" w:rsidRDefault="0000733A" w:rsidP="0000733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Провела 56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 зустрічей з виборцями з питань 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заборони будівництва</w:t>
      </w:r>
      <w:r w:rsidR="00D33585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торгівельного центру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 на території КУ Сумська ЗОШ №12 та КУ Сумська гімназія №1,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установки газових лічильників, облаштування дитячих майданчиків,</w:t>
      </w:r>
      <w:r w:rsidR="007C2F70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ремонту  внутрішньодворового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дорожн</w:t>
      </w:r>
      <w:r w:rsidR="007C2F70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ь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ого покриття, ремонту ліфтів, </w:t>
      </w:r>
      <w:r>
        <w:rPr>
          <w:rFonts w:ascii="Arial" w:eastAsia="Times New Roman" w:hAnsi="Arial" w:cs="Arial"/>
          <w:color w:val="636363"/>
          <w:sz w:val="32"/>
          <w:szCs w:val="32"/>
          <w:lang w:eastAsia="uk-UA"/>
        </w:rPr>
        <w:t>ремонту дахів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, ремонту будинків і т.</w:t>
      </w:r>
      <w:r w:rsidR="007C2F70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д.</w:t>
      </w:r>
    </w:p>
    <w:p w:rsidR="0000733A" w:rsidRPr="0000733A" w:rsidRDefault="0000733A" w:rsidP="001A1E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Ініціювала і провела зустрічі мешканців мікрорайону з міським головою Лисенком О.М.,</w:t>
      </w:r>
      <w:r w:rsid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директором департаменту інфраструктури міста Яременк</w:t>
      </w:r>
      <w:r w:rsid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ом Г.І., директором 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</w:t>
      </w:r>
      <w:r w:rsid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д</w:t>
      </w:r>
      <w:r w:rsidR="001A1E71" w:rsidRP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епартамент</w:t>
      </w:r>
      <w:r w:rsid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у </w:t>
      </w:r>
      <w:r w:rsidR="001A1E71" w:rsidRP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забезпечення ресурсних платежів</w:t>
      </w:r>
      <w:r w:rsidR="001A1E71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Клименком Ю.М.</w:t>
      </w:r>
    </w:p>
    <w:p w:rsidR="0000733A" w:rsidRPr="0000733A" w:rsidRDefault="0000733A" w:rsidP="0000733A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Кількість проект</w:t>
      </w:r>
      <w:r w:rsidR="00D33585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ів рішень, ініційованих мною – 1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, підтримане -1.</w:t>
      </w:r>
    </w:p>
    <w:p w:rsidR="0000733A" w:rsidRPr="0000733A" w:rsidRDefault="0000733A" w:rsidP="0000733A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color w:val="595959"/>
          <w:sz w:val="32"/>
          <w:szCs w:val="32"/>
          <w:lang w:eastAsia="uk-UA"/>
        </w:rPr>
      </w:pPr>
      <w:r w:rsidRPr="0000733A">
        <w:rPr>
          <w:rFonts w:ascii="Arial" w:eastAsia="Times New Roman" w:hAnsi="Arial" w:cs="Arial"/>
          <w:color w:val="595959"/>
          <w:sz w:val="32"/>
          <w:szCs w:val="32"/>
          <w:lang w:eastAsia="uk-UA"/>
        </w:rPr>
        <w:t>Кількість депутатських</w:t>
      </w:r>
      <w:r w:rsidR="0020434D">
        <w:rPr>
          <w:rFonts w:ascii="Arial" w:eastAsia="Times New Roman" w:hAnsi="Arial" w:cs="Arial"/>
          <w:color w:val="595959"/>
          <w:sz w:val="32"/>
          <w:szCs w:val="32"/>
          <w:lang w:eastAsia="uk-UA"/>
        </w:rPr>
        <w:t xml:space="preserve"> запитів, ініційованих мною – 21, підтримано радою – 21</w:t>
      </w:r>
      <w:r w:rsidRPr="0000733A">
        <w:rPr>
          <w:rFonts w:ascii="Arial" w:eastAsia="Times New Roman" w:hAnsi="Arial" w:cs="Arial"/>
          <w:color w:val="595959"/>
          <w:sz w:val="32"/>
          <w:szCs w:val="32"/>
          <w:lang w:eastAsia="uk-UA"/>
        </w:rPr>
        <w:t xml:space="preserve">. </w:t>
      </w:r>
    </w:p>
    <w:p w:rsidR="0000733A" w:rsidRDefault="0000733A" w:rsidP="00007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     Кількість депутатських</w:t>
      </w:r>
      <w:r w:rsidR="0020434D">
        <w:rPr>
          <w:rFonts w:ascii="Arial" w:eastAsia="Times New Roman" w:hAnsi="Arial" w:cs="Arial"/>
          <w:color w:val="636363"/>
          <w:sz w:val="32"/>
          <w:szCs w:val="32"/>
          <w:lang w:eastAsia="uk-UA"/>
        </w:rPr>
        <w:t xml:space="preserve"> звернень, ініційованих мною – 10</w:t>
      </w:r>
      <w:r w:rsidRPr="0000733A">
        <w:rPr>
          <w:rFonts w:ascii="Arial" w:eastAsia="Times New Roman" w:hAnsi="Arial" w:cs="Arial"/>
          <w:color w:val="636363"/>
          <w:sz w:val="32"/>
          <w:szCs w:val="32"/>
          <w:lang w:eastAsia="uk-UA"/>
        </w:rPr>
        <w:t>.</w:t>
      </w:r>
    </w:p>
    <w:p w:rsidR="00854B9A" w:rsidRDefault="00854B9A" w:rsidP="00007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eastAsia="uk-UA"/>
        </w:rPr>
      </w:pPr>
    </w:p>
    <w:p w:rsidR="00854B9A" w:rsidRPr="0000733A" w:rsidRDefault="00854B9A" w:rsidP="000073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36363"/>
          <w:sz w:val="32"/>
          <w:szCs w:val="32"/>
          <w:lang w:val="ru-RU" w:eastAsia="uk-UA"/>
        </w:rPr>
      </w:pPr>
    </w:p>
    <w:p w:rsidR="00854B9A" w:rsidRDefault="00854B9A" w:rsidP="00854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</w:pPr>
    </w:p>
    <w:p w:rsidR="00854B9A" w:rsidRDefault="00854B9A" w:rsidP="00854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</w:pPr>
    </w:p>
    <w:p w:rsidR="00854B9A" w:rsidRDefault="00854B9A" w:rsidP="00854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  <w:sectPr w:rsidR="00854B9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02CC4" w:rsidRPr="001D2092" w:rsidRDefault="00002CC4" w:rsidP="00002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636363"/>
          <w:sz w:val="40"/>
          <w:szCs w:val="40"/>
          <w:lang w:eastAsia="uk-UA"/>
        </w:rPr>
        <w:lastRenderedPageBreak/>
        <w:t>Звіт по депутатським запитам</w:t>
      </w: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1500"/>
        <w:gridCol w:w="3216"/>
        <w:gridCol w:w="4184"/>
        <w:gridCol w:w="5244"/>
      </w:tblGrid>
      <w:tr w:rsidR="00002CC4" w:rsidRPr="006145CD" w:rsidTr="00E55761">
        <w:trPr>
          <w:trHeight w:val="40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lang w:eastAsia="uk-UA"/>
              </w:rPr>
              <w:t>Кому адресований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lang w:eastAsia="uk-UA"/>
              </w:rPr>
              <w:t>Зміст запиту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lang w:eastAsia="uk-UA"/>
              </w:rPr>
              <w:t>Відповідь на запит</w:t>
            </w:r>
          </w:p>
        </w:tc>
      </w:tr>
      <w:tr w:rsidR="00002CC4" w:rsidRPr="006145CD" w:rsidTr="00E55761">
        <w:trPr>
          <w:trHeight w:val="60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2F6581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01.11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Сумському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міському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 xml:space="preserve"> Лисенку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О.М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2F6581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облаштування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майданчика для сміття (повторно)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384-зап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08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11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16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Перший заступник міського голови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. Войтенко повідомив наступне: складова на облаштування контейнерних майданчиків  до тарифу на послуги із збирання та вивезення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ТПВ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не входить. Всі затрати по облаштуванню контейнерних майданчиків ТОВ «А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Муссон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» виконує за рахунок власних коштів. Департамент інфраструктури міста направив листа до ТОВ «А-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Муссон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» з проханням розглянути можливість включення робіт по облаштуванню контейнерного майданчика за вказаною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до плану робіт на 2017 р.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10.11.2016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Сумському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міському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 xml:space="preserve"> Лисенку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О.М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ремонту дороги по вул. Шевченка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412-зап від 13.12.2016 р.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Укладено договори на виготовлення кошторисної документації на кап ремонт тротуарів по вул. Шевченка, 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Набережна р. Стрілки, Героїв Сумщини та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Новомістенська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з метою виконання робіт у наступному році.</w:t>
            </w:r>
          </w:p>
        </w:tc>
      </w:tr>
      <w:tr w:rsidR="00002CC4" w:rsidRPr="006145CD" w:rsidTr="00E55761">
        <w:trPr>
          <w:trHeight w:val="190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29.11.2016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Міському голові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м. Суми Лисенку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пільгового проїзду для учнів 1-11 класів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№ 411 -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від 08.12.2016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Надано загальний перелік категорій осіб, які користуються пільговим проїздом. Серед них діти 1- 4 класів (в учбовий період).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Зазначено, що перевезення пільгових категорій здійснюється без відшкодування з державного та місцевого бюджетів. Видатки на компенсацію пільгового проїзду у вигляді субвенції з державного бюджету місцевим бюджетам не передбачені.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Порядок надання компенсації за пільговий проїзд має розглядатися органом місцевого самоврядування, який приймає відповідне рішення про їх затвердження.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Згідно завдань та функцій покладених відповідно до затвердженого Положення розробленням порядку компенсації буде займатись Департамент соціального захисту населення СМР за участю відділу транспорту, зв’язку та телекомунікаційних послуг.</w:t>
            </w:r>
          </w:p>
        </w:tc>
      </w:tr>
      <w:tr w:rsidR="00002CC4" w:rsidRPr="006145CD" w:rsidTr="00E55761">
        <w:trPr>
          <w:trHeight w:val="172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20.12.2016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Сумському м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іському голові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Лисенку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ремонту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ліфтів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, 12А та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№ 27 від 20.12.2016 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О.І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. Журба повідомив: у 2016 р. за кошти міського бюджету було виконано обстеження (технічне діагностування) ліфта у житловому № 12А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. Роботи по кап ремонту цього будинку будуть включені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списку кап ремонту житлового фонду на 2017 р. з подальшим внесенням на розгляд депутатського корпусу СМР при прийнятті бюджету на наступний рік.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Будинок № 14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є відомчим будинком, тому будь-які роботи по кап ремонту будинку за кошти міського бюджету виконати неможливо.</w:t>
            </w:r>
          </w:p>
        </w:tc>
      </w:tr>
      <w:tr w:rsidR="00002CC4" w:rsidRPr="006145CD" w:rsidTr="00E55761">
        <w:trPr>
          <w:trHeight w:val="208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20.12.2016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B33260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B33260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B33260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ремонту покрівлі будинків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, 12Г та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12/5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1257/07-02 від 30.12.2016 р.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Спеціалістами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Коменерго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-Суми» було проведено обстеження житлових будинків № 12Г та 16/5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і встановлено, що покрівлі зазначених житлових будинків знаходяться у задовільному стані та не потребують проведення капітального ремонту.</w:t>
            </w:r>
          </w:p>
        </w:tc>
      </w:tr>
      <w:tr w:rsidR="00002CC4" w:rsidRPr="006145CD" w:rsidTr="00E55761">
        <w:trPr>
          <w:trHeight w:val="118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27.12.2016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B33260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B33260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B33260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введення посади головного бухгалтера до штатних розписів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ЗНЗ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ДНЗ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(повторно)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У школах, які ведуть самостійний бухгалтерський облік, вводиться 1 посада бухгалтера. Згідно з кваліфікаційною характеристикою посада «головний бухгалтер» передбачає наявність підлеглих. Також відповідно до класифікатора професій професійна назва роботи «головний бухгалтер» належить до професійного угрупування «Керівники фінансових, бухгалтерських, економічних, юридичних та адміністративних підрозділів», а це передбачає збільшення коштів на фонд оплати праці на поточний рік. Станом на 30.01.2017 р. бюджет галузі «Освіта» сформовано, коштів на оплату праці головного бухгалтера не передбачено. 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Керівнику навчального закладу надано право регулювати заробітну плату бухгалтерів шляхом встановлення надбавок та премій у межах доведеного фонду оплати праці.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</w:p>
        </w:tc>
      </w:tr>
      <w:tr w:rsidR="00002CC4" w:rsidRPr="006145CD" w:rsidTr="00E55761">
        <w:trPr>
          <w:trHeight w:val="109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23.01.2017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8B71C6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8B71C6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8B71C6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8B71C6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ремонту дорожнього покриття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на території музичної школи № 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453/1 від 08.02.2016 р.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Управлінням капітального будівництва та дорожнього господарства СМР направлено листа до голови комісії з питань планування соціально-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 xml:space="preserve">економічного розвитку, бюджету, фінансів, обліку цін та інвестиційної політики СМР щодо виділення додаткових коштів для виконання робіт з капітального ремонту. При позитивному рішенні та відповідному фінансуванні буде розроблена проектно-кошторисна документація і виконані будівельні роботи. </w:t>
            </w:r>
          </w:p>
        </w:tc>
      </w:tr>
      <w:tr w:rsidR="00002CC4" w:rsidRPr="006145CD" w:rsidTr="00E55761">
        <w:trPr>
          <w:trHeight w:val="145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23.01.2017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923AFD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923AFD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923AFD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ремонту даху будинку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Я.Мудрого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68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454-зап від 26.01.2017 р.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При формуванні проекту переліку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об&amp;єктів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фінансування на 2017 р. будуть включені пропозиції по капітальному ремонту покрівлі житлового будинку № 68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Я.Мудрого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з подальшим внесенням на розгляд депутатського корпусу СМР  </w:t>
            </w:r>
          </w:p>
        </w:tc>
      </w:tr>
      <w:tr w:rsidR="00002CC4" w:rsidRPr="006145CD" w:rsidTr="00E55761">
        <w:trPr>
          <w:trHeight w:val="145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20.02.2017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923AFD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923AFD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923AFD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ремонту покрівлі будинків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, 12Г та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</w:p>
        </w:tc>
      </w:tr>
      <w:tr w:rsidR="00002CC4" w:rsidRPr="006145CD" w:rsidTr="00E55761">
        <w:trPr>
          <w:trHeight w:val="1455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33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27.03.2017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117E8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117E8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117E8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117E8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ремонту внутрішньо квартальної дороги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494/1 від 12.04.2017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За інформацією управління капітального будівництва та дорожнього господарства СМР, першочергово в 2017 р. виконуються роботи на об’єктах, про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яким розроблено проектно-кошторисна документація в 2016 р. та перехідні об’єкти.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Вищезазначена вулиця титульним списком кап ремонту на 2017 р. не передбачена.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При перерозподілі бюджету за підсумками І півріччя кап ремонт дороги в районі житлових будинків № 12А, 12Г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буде винесено на розгляд профільних комісій для включення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список кап ремонту на 2017 р. При позитивному вирішенні цього питання та відповідному фінансуванні кап ремонт буде виконано.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34</w:t>
            </w:r>
            <w:r w:rsidRPr="00D968B9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27.03.2017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встановлення балансоутримувача електричних опор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495-зап від 12.04.2017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Згідно з інформацією, наданою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УОіН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СМР, на території 24 навчальних закладів м. Суми розташовані 180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безгосподарських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електричних опор, 116з яких не діючі. </w:t>
            </w:r>
          </w:p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Департаментом забезпечення ресурсних платежів СМР ведеться робота по створенню комісії з обстеження зазначених опор, опрацюванню можливості та доцільності зарахування їх до комунальної власності територіальної громади м. Суми та визначенню суб’єктів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господарювання, які б могли взяти ці опори на баланс та подальше обслуговування. З урахуванням результатів роботи комісії буде підготовлений та винесений на розгляд СМР відповідний проект рішення.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23.12.2017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ремонту тротуарів в центральній частині міста (повторно)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517/1 від 14.04.2017 р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Титульним списком на капітальний ремонт тротуарів по м. Суми на 2017 р., в межах визначених видатків міського бюджету, передбачено виконання ремонту пішохідних доріжок по вул. Шевченка, департаментом укладено договір на його переведення з терміном виконання до 15.08.2017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На виконання доручення міського голови департаментом опрацьовано питання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(50/50) з суб’єктами господарювання ремонту тротуару по вул. Набережна р. Стрілки та включено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списку на капітальний ремонт тротуарів по м. Суми на 2017 р. 50% від кошторисної вартості капітального ремонту зазначеного об’єкту. Протягом весняно-літнього періоду роботи по його облаштуванню будуть виконані.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Стосовно ремонту тротуарів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інформуємо, що у зв’язку з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 xml:space="preserve">обмеженістю фінансування будівельної галузі в поточному році, вказаний об’єкт не було включено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списку по кап ремонту на 2017 р.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04.04.2017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722AD7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722AD7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722AD7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встановлення балансоутримувача електричних опор (повторно)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25.04.2017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C953E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забезпечення припинення практики покладання на навчальні заклади невластивих їм функцій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527-зап від 28.04.2017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влади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С.Я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Пак повідомив наступне: школи міста у кінці квітня та в травні, як і завжди, долучилися до відзначення важливих історичних подій, пов’язаних з історією України. Патріотичне виховання в школах спрямовується на залучення учнів до глибинних пластів національної культури і духовності, формування у дітей та молоді національних світоглядних позицій, ідей, поглядів і переконань на основі цінностей вітчизняної культури.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На виконання постанови КМУ від 07.12.2016 № 999 «Про затвердження Типового положення про координаційну </w:t>
            </w: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раду з питань національно-патріотичного виховання при місцевій державній адміністрації» видано розпорядження міського голови м. Суми від 18.08.2017 р. № 118-Р «Про координаційну раду з питань національно-патріотичного виховання при СМР», яка буде займатися здійсненням відповідних повноважень міської ради у цій сфері діяльності.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14.05.2017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23174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23174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23174C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прочищення каналу для відведення дощових вод по вул. Макаренка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541/1 від 29.05.2017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Відповідно до рішення СМР від 29.03.2017 р. № 1902-МР «Про зарахування до комунальної власності територіальної громади м. суми майна» канал К-5 розташований на території 31 та частково 33 кварталі, зарахований до комунальної власності територіальної громади м. Суми.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На теперішній час на замовлення департаменту забезпечення ресурсних платежів СМР проводиться кошторисна оцінка та виготовляється експертний висновок вищезазначеного об’єкту. Після цього департаментом інфраструктури міста буде опрацьовано питання прийняття в оперативне управління та на баланс канал К-5.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14.05.2017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4E0D0B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4E0D0B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4E0D0B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пішохідної доріжки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між будинками № 108 та № 110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542/1 від 26.05.2017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 список по кап ремонту об’єктів благоустрою на 2017 р. затверджено, але у зв’язку з обмеженістю фінансування , вказані заходи до нього не ввійшли.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При наявності залишків коштів після проведення робіт,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списком, або додаткових коштів з міського бюджету на ремонт тротуарів на території м. Суми, буде розглянуто питання щодо включення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тит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списку проведення робіт по ремонту пішохідної доріжки між будинками № 108 та 110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Іллінська</w:t>
            </w:r>
            <w:proofErr w:type="spellEnd"/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30.05.2017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ситуації навколо магазину «Сандра»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,12/2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 546/1 від 15.06.2017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ІІ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пленарному засіданні 27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сесі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\ СМР 14.06.2017 прийнято рішення про відмову у продовженні терміну дії договору оренди земельної ділянки під розміщеним літнім майданчиком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 висновками членів комісії, директору 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ТМ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Квітіс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Хрипунову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С.А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 (орендар) рекомендовано провести демонтаж літнього майданчика у добровільному порядку.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13.06.2017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заборони будівництва торгівельного центру на території навчального закладу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19.06.2017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заборони будівництва торгівельного центру на території навчального закладу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№ 575/1 від 06.07.2017 р. 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Розглянуто посадовими особами управління державного архітектурно-будівельного контролю СМР.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Невідкладно 26.06.2017 на підставі попереднього запиту управлінням розпочато проведення позапланової перевірки дотримання вимог законодавства у сфері містобудівної діяльності, будівельних норм, державних стандартів і правил під час виконання будівельних робіт за вищевказаною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25.07.2017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облаштування спортивного поля туалетом та смітниками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590/1 від09.04..2017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На теперішній час управлінням капітального будівництва та дорожнього господарства СМР виконуються роботи по реконструкції об’єкту «Реконструкція грального поля по вул. Якіра»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Розробленою проектно-кошторисною документацією не передбачено будівництво туалету та встановлення смітників.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Додатково буде розглянуто питання щодо коригування проектно-кошторисної документації по реконструкції даного об’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з урахуванням запиту.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25.07.2017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скасування містобудівних умов і обмежень забудови земельної ділянки для реконструкції квіткового павільйону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3/1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591/1 від 08.08.2017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На підставі звернення була проведена позапланова перевірка об’єкту будівництва на земельній ділянці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Засумська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3/1.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За результатами перевірки Управлінням було складено «Акт, складений за результатами проведення планового (позапланового) заходу державного нагляду (контролю) щодо дотримання суб’єктами містобудування вимог законодавства у сфері містобудівної діяльності, будівельних норм, стандартів і правил під час виконання підготовчих та будівельних робіт» № 64, а також видано Припис про усунення порушення вимог законодавства у сфері містобудівної діяльності, будівельних норм, стандартів і правил від 12.07.2017 р. та Припис про зупинення підготовчих та будівельних робіт від 12.07.2017 р.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25.09.2017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D968B9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ремонту ліфтів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49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№ 632/1 від 10.10.2017 р.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У 2017 р. заплановано виконання експертного обстеження (технічного діагностування) ліфта за кошти міського бюджету у житловому будинку № 49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Тит список капітального ремонту житлового фонду на 2017 рік затверджений, при виділенні додаткових коштів питання щодо капітального ремонту ліфта у житловому будинку № 49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буде розглянуто.</w:t>
            </w: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25.09.2017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Щодо покрівлі будинку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, 12/2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Титульним списком капітального ремонту на 2017 р не передбачено ремонт покрівлі будинку № 12/2 по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Іллінській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 пропозицію щодо ремонту покрівлі за рахунок котів власників квартир будинку або на умовах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співфінансування</w:t>
            </w:r>
            <w:proofErr w:type="spellEnd"/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28.11.2017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перенесення майданчика для сміття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</w:p>
        </w:tc>
      </w:tr>
      <w:tr w:rsidR="00002CC4" w:rsidRPr="006145CD" w:rsidTr="00E55761">
        <w:trPr>
          <w:trHeight w:val="1440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lastRenderedPageBreak/>
              <w:t>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28.11.2017 р.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Pr="00C953EC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 xml:space="preserve">Сумському міському голові Лисенку </w:t>
            </w:r>
            <w:proofErr w:type="spellStart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О.М</w:t>
            </w:r>
            <w:proofErr w:type="spellEnd"/>
            <w:r w:rsidRPr="00F53703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  <w:t>Щодо фінансування положень реформи освіти у 2018 р у м. Суми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CC4" w:rsidRDefault="00002CC4" w:rsidP="00E5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lang w:eastAsia="uk-UA"/>
              </w:rPr>
            </w:pPr>
          </w:p>
        </w:tc>
      </w:tr>
    </w:tbl>
    <w:p w:rsidR="002B3E56" w:rsidRDefault="002B3E56" w:rsidP="00002CC4"/>
    <w:sectPr w:rsidR="002B3E56" w:rsidSect="00002CC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C37"/>
    <w:multiLevelType w:val="hybridMultilevel"/>
    <w:tmpl w:val="EAFC5A70"/>
    <w:lvl w:ilvl="0" w:tplc="D7E4E41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C42274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F50370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6EEF9B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778DDE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E7CBAA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D42532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DDA70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CA2ED5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3A"/>
    <w:rsid w:val="00002CC4"/>
    <w:rsid w:val="0000733A"/>
    <w:rsid w:val="001A1E71"/>
    <w:rsid w:val="0020434D"/>
    <w:rsid w:val="002B3E56"/>
    <w:rsid w:val="00322565"/>
    <w:rsid w:val="00527880"/>
    <w:rsid w:val="006644A2"/>
    <w:rsid w:val="007C2F70"/>
    <w:rsid w:val="00854B9A"/>
    <w:rsid w:val="00D33585"/>
    <w:rsid w:val="00E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BAE6-00D3-44E6-BC8F-D25027B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CHIN-PC9</dc:creator>
  <cp:keywords/>
  <dc:description/>
  <cp:lastModifiedBy>Конікова Світлана Анатоліївна</cp:lastModifiedBy>
  <cp:revision>9</cp:revision>
  <dcterms:created xsi:type="dcterms:W3CDTF">2018-02-08T09:28:00Z</dcterms:created>
  <dcterms:modified xsi:type="dcterms:W3CDTF">2018-02-22T15:23:00Z</dcterms:modified>
</cp:coreProperties>
</file>