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24" w:rsidRDefault="00275D24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-599440</wp:posOffset>
            </wp:positionV>
            <wp:extent cx="4705350" cy="11366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D24" w:rsidRDefault="00275D24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5D24" w:rsidRDefault="00275D24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5D24" w:rsidRDefault="00275D24" w:rsidP="00275D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DCA" w:rsidRPr="00275D24" w:rsidRDefault="00C303FB" w:rsidP="0027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D24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</w:p>
    <w:p w:rsidR="00C303FB" w:rsidRPr="00275D24" w:rsidRDefault="00C303FB" w:rsidP="00275D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D24">
        <w:rPr>
          <w:rFonts w:ascii="Times New Roman" w:hAnsi="Times New Roman" w:cs="Times New Roman"/>
          <w:sz w:val="28"/>
          <w:szCs w:val="28"/>
          <w:lang w:val="uk-UA"/>
        </w:rPr>
        <w:t>депутата Сумської міської ради</w:t>
      </w:r>
    </w:p>
    <w:p w:rsidR="00275D24" w:rsidRPr="00275D24" w:rsidRDefault="00324C29" w:rsidP="0027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Крамченкова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Андрія Борисовича</w:t>
      </w:r>
    </w:p>
    <w:p w:rsidR="00275D24" w:rsidRPr="00275D24" w:rsidRDefault="00324C29" w:rsidP="00275D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275D24" w:rsidRPr="00275D24">
        <w:rPr>
          <w:rFonts w:ascii="Times New Roman" w:hAnsi="Times New Roman" w:cs="Times New Roman"/>
          <w:sz w:val="28"/>
          <w:szCs w:val="28"/>
          <w:lang w:val="uk-UA"/>
        </w:rPr>
        <w:t>2016 рік</w:t>
      </w:r>
    </w:p>
    <w:p w:rsidR="00060E0D" w:rsidRPr="00275D24" w:rsidRDefault="00060E0D" w:rsidP="00275D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03FB" w:rsidRPr="00275D24" w:rsidRDefault="00C303FB" w:rsidP="00275D2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Межі округу </w:t>
      </w:r>
      <w:r w:rsidR="00324C29">
        <w:rPr>
          <w:rFonts w:ascii="Times New Roman" w:hAnsi="Times New Roman" w:cs="Times New Roman"/>
          <w:b/>
          <w:sz w:val="24"/>
          <w:szCs w:val="24"/>
          <w:lang w:val="uk-UA"/>
        </w:rPr>
        <w:t>– місто Суми</w:t>
      </w:r>
    </w:p>
    <w:p w:rsidR="00C303FB" w:rsidRPr="00275D24" w:rsidRDefault="00C303FB" w:rsidP="00275D2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358A7" w:rsidRPr="00275D24" w:rsidRDefault="005D3DE9" w:rsidP="00275D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Сесійна робота</w:t>
      </w:r>
    </w:p>
    <w:p w:rsidR="00A358A7" w:rsidRPr="00275D24" w:rsidRDefault="00A358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866A7" w:rsidRPr="00275D24" w:rsidRDefault="007866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2016 році був присутній на </w:t>
      </w:r>
      <w:r w:rsidR="00324C29">
        <w:rPr>
          <w:rFonts w:ascii="Times New Roman" w:hAnsi="Times New Roman" w:cs="Times New Roman"/>
          <w:color w:val="000000"/>
          <w:sz w:val="24"/>
          <w:szCs w:val="24"/>
          <w:lang w:val="uk-UA"/>
        </w:rPr>
        <w:t>21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зас</w:t>
      </w:r>
      <w:r w:rsidR="00324C2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іданні Сумської міської ради.</w:t>
      </w:r>
    </w:p>
    <w:p w:rsidR="00C1379D" w:rsidRPr="00275D24" w:rsidRDefault="00A358A7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 час </w:t>
      </w:r>
      <w:r w:rsidR="001804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здійснення депутатських повноважень протягом 2016 року мною підготовлено </w:t>
      </w:r>
      <w:r w:rsidR="00930ECD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1804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депутатських запитів</w:t>
      </w:r>
      <w:r w:rsidR="00930E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13 депутатських звернень.</w:t>
      </w:r>
      <w:r w:rsidR="003E20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358A7" w:rsidRPr="00275D24" w:rsidRDefault="00143E73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ініціативою фракції</w:t>
      </w:r>
      <w:r w:rsidR="00D172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політичної партії</w:t>
      </w:r>
      <w:r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«За Україну!» </w:t>
      </w:r>
      <w:r w:rsidR="00741CD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розробив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05726">
        <w:rPr>
          <w:rFonts w:ascii="Times New Roman" w:hAnsi="Times New Roman" w:cs="Times New Roman"/>
          <w:color w:val="000000"/>
          <w:sz w:val="24"/>
          <w:szCs w:val="24"/>
          <w:lang w:val="uk-UA"/>
        </w:rPr>
        <w:t>4 проекти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рішень </w:t>
      </w:r>
      <w:r w:rsidR="00741CD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 та підготовив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близько </w:t>
      </w:r>
      <w:r w:rsidR="00741CD3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5D3DE9" w:rsidRPr="00275D24">
        <w:rPr>
          <w:rFonts w:ascii="Times New Roman" w:hAnsi="Times New Roman" w:cs="Times New Roman"/>
          <w:color w:val="000000"/>
          <w:sz w:val="24"/>
          <w:szCs w:val="24"/>
          <w:lang w:val="uk-UA"/>
        </w:rPr>
        <w:t>0 пропозицій до проектів рішень міської ради.</w:t>
      </w:r>
    </w:p>
    <w:p w:rsidR="00143E73" w:rsidRPr="00275D24" w:rsidRDefault="005D3DE9" w:rsidP="00275D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Під час засідань ради активно відстоював пропозиції громадськості щодо необхідності </w:t>
      </w:r>
      <w:r w:rsidR="00C1379D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закупівлі </w:t>
      </w:r>
      <w:r w:rsidR="00143E73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великих автобусів зі 100% низьким рівнем підлоги, впровадження у виконавчих органах ради та комунальних підприємствах допорогових закупівель через електронну систему публічних </w:t>
      </w:r>
      <w:proofErr w:type="spellStart"/>
      <w:r w:rsidR="00143E73" w:rsidRPr="00275D2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143E73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3E73" w:rsidRPr="00275D24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143E73" w:rsidRPr="00275D24">
        <w:rPr>
          <w:rFonts w:ascii="Times New Roman" w:hAnsi="Times New Roman" w:cs="Times New Roman"/>
          <w:sz w:val="24"/>
          <w:szCs w:val="24"/>
          <w:lang w:val="uk-UA"/>
        </w:rPr>
        <w:t>, збільшення ефективності використання коштів бюдже</w:t>
      </w:r>
      <w:r w:rsidR="008C258F">
        <w:rPr>
          <w:rFonts w:ascii="Times New Roman" w:hAnsi="Times New Roman" w:cs="Times New Roman"/>
          <w:sz w:val="24"/>
          <w:szCs w:val="24"/>
          <w:lang w:val="uk-UA"/>
        </w:rPr>
        <w:t xml:space="preserve">ту м. Суми, призначення на посади директорів комунальних підприємств за конкурсом тощо. </w:t>
      </w:r>
    </w:p>
    <w:p w:rsidR="00C1379D" w:rsidRDefault="008C258F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2016 році розробив альтернативний проект рішення про розподіл вільного залишку коштів міського бюджету за 2015 рік, яким, зокрема, передбачалося збільшення фінансування галузі середньої освіти у місті для запобігання збору коштів з батьків учнів, закупівля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низькопідлогових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автобусів для КП СМР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Електроавтотранс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», збільшення видатків на молодь. Крім того, цей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передбачав збільшення фінансування капітальних ремонтів тих будинків, мешканці яких створюють ОСББ.</w:t>
      </w:r>
    </w:p>
    <w:p w:rsidR="008C258F" w:rsidRPr="00275D24" w:rsidRDefault="008C258F" w:rsidP="00275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рамках взаємодії з активною громадськістю міста, вніс на розгляд міської ради декілька проектів рішень на підтримку петицій, що набрали велику кількість голосів жителів. Зокрема, це проект рішення про </w:t>
      </w:r>
      <w:r w:rsidRPr="008C258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звернення до Верховної ради України щодо необхідності безпартійності наступних виборів до місцевих органів влади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проект рішення про скасування результатів конкурсу з обрання логотипу міста Суми.</w:t>
      </w:r>
    </w:p>
    <w:p w:rsidR="00143E73" w:rsidRPr="00275D24" w:rsidRDefault="00143E73" w:rsidP="00275D2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87A6D" w:rsidRDefault="006A7671" w:rsidP="00275D2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Робота в постійній депутатській комісії</w:t>
      </w:r>
    </w:p>
    <w:p w:rsidR="00275D24" w:rsidRPr="00275D24" w:rsidRDefault="00275D24" w:rsidP="00275D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B3978" w:rsidRPr="00275D24" w:rsidRDefault="00CB3978" w:rsidP="002C635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635E">
        <w:rPr>
          <w:rFonts w:ascii="Times New Roman" w:hAnsi="Times New Roman" w:cs="Times New Roman"/>
          <w:sz w:val="24"/>
          <w:szCs w:val="24"/>
          <w:lang w:val="uk-UA"/>
        </w:rPr>
        <w:t xml:space="preserve">Є членом постійної комісії з питань </w:t>
      </w:r>
      <w:r w:rsidR="002C635E" w:rsidRPr="002C635E">
        <w:rPr>
          <w:rFonts w:ascii="Times New Roman" w:hAnsi="Times New Roman" w:cs="Times New Roman"/>
          <w:sz w:val="24"/>
          <w:szCs w:val="24"/>
          <w:lang w:val="uk-UA"/>
        </w:rPr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2C63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>Сумської міської ради.</w:t>
      </w:r>
    </w:p>
    <w:p w:rsidR="00CB3978" w:rsidRDefault="00CB3978" w:rsidP="000412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За 2016 рік було проведено </w:t>
      </w:r>
      <w:r w:rsidR="002C635E">
        <w:rPr>
          <w:rFonts w:ascii="Times New Roman" w:hAnsi="Times New Roman" w:cs="Times New Roman"/>
          <w:sz w:val="24"/>
          <w:szCs w:val="24"/>
          <w:lang w:val="uk-UA"/>
        </w:rPr>
        <w:t>36 засіда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C635E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</w:t>
      </w:r>
      <w:r w:rsidR="00C52E8D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C635E">
        <w:rPr>
          <w:rFonts w:ascii="Times New Roman" w:hAnsi="Times New Roman" w:cs="Times New Roman"/>
          <w:sz w:val="24"/>
          <w:szCs w:val="24"/>
          <w:lang w:val="uk-UA"/>
        </w:rPr>
        <w:t xml:space="preserve">взяв </w:t>
      </w:r>
      <w:r w:rsidR="00C52E8D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участь у </w:t>
      </w:r>
      <w:r w:rsidR="002C635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52E8D" w:rsidRPr="00275D24">
        <w:rPr>
          <w:rFonts w:ascii="Times New Roman" w:hAnsi="Times New Roman" w:cs="Times New Roman"/>
          <w:sz w:val="24"/>
          <w:szCs w:val="24"/>
          <w:lang w:val="uk-UA"/>
        </w:rPr>
        <w:t>4)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, на яких було </w:t>
      </w:r>
      <w:r w:rsidR="00C52E8D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розглянуто близько </w:t>
      </w:r>
      <w:r w:rsidR="002C635E">
        <w:rPr>
          <w:rFonts w:ascii="Times New Roman" w:hAnsi="Times New Roman" w:cs="Times New Roman"/>
          <w:sz w:val="24"/>
          <w:szCs w:val="24"/>
          <w:lang w:val="uk-UA"/>
        </w:rPr>
        <w:t>731 питання</w:t>
      </w:r>
      <w:r w:rsidR="00C52E8D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На кожному засіданні постійна комісія розглядає 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звернення фізичних та юридичних осіб. </w:t>
      </w:r>
      <w:r w:rsidR="002C635E">
        <w:rPr>
          <w:rFonts w:ascii="Times New Roman" w:hAnsi="Times New Roman" w:cs="Times New Roman"/>
          <w:sz w:val="24"/>
          <w:szCs w:val="24"/>
          <w:lang w:val="uk-UA"/>
        </w:rPr>
        <w:t>У разі потреби, комісія організовує спільні засідання з іншими постійними комісіями Сумської міської ради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C258F" w:rsidRDefault="008C258F" w:rsidP="000412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Крім роботи у постійній комісії, активно взаємодіяв із відповідною громадською експертною комісією, що вилилося у декілька депутатських пропозицій, звернень та один проект рішення.</w:t>
      </w:r>
    </w:p>
    <w:p w:rsidR="00275D24" w:rsidRPr="00275D24" w:rsidRDefault="00275D24" w:rsidP="00275D2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B3978" w:rsidRPr="00275D24" w:rsidRDefault="00143E73" w:rsidP="00275D24">
      <w:pPr>
        <w:pStyle w:val="3"/>
        <w:spacing w:after="0"/>
        <w:ind w:left="0" w:firstLine="567"/>
        <w:jc w:val="center"/>
        <w:rPr>
          <w:b/>
          <w:sz w:val="24"/>
          <w:szCs w:val="24"/>
          <w:lang w:val="ru-RU"/>
        </w:rPr>
      </w:pPr>
      <w:proofErr w:type="spellStart"/>
      <w:r w:rsidRPr="00275D24">
        <w:rPr>
          <w:b/>
          <w:sz w:val="24"/>
          <w:szCs w:val="24"/>
          <w:lang w:val="ru-RU"/>
        </w:rPr>
        <w:t>Депутатські</w:t>
      </w:r>
      <w:proofErr w:type="spellEnd"/>
      <w:r w:rsidR="006A7671" w:rsidRPr="00275D24">
        <w:rPr>
          <w:b/>
          <w:sz w:val="24"/>
          <w:szCs w:val="24"/>
          <w:lang w:val="ru-RU"/>
        </w:rPr>
        <w:t xml:space="preserve"> </w:t>
      </w:r>
      <w:proofErr w:type="spellStart"/>
      <w:r w:rsidR="006A7671" w:rsidRPr="00275D24">
        <w:rPr>
          <w:b/>
          <w:sz w:val="24"/>
          <w:szCs w:val="24"/>
          <w:lang w:val="ru-RU"/>
        </w:rPr>
        <w:t>кошти</w:t>
      </w:r>
      <w:proofErr w:type="spellEnd"/>
    </w:p>
    <w:p w:rsidR="006A7671" w:rsidRPr="00275D24" w:rsidRDefault="006A7671" w:rsidP="00275D24">
      <w:pPr>
        <w:pStyle w:val="3"/>
        <w:spacing w:after="0"/>
        <w:ind w:left="0" w:firstLine="567"/>
        <w:jc w:val="both"/>
        <w:rPr>
          <w:sz w:val="24"/>
          <w:szCs w:val="24"/>
          <w:lang w:val="ru-RU"/>
        </w:rPr>
      </w:pPr>
    </w:p>
    <w:p w:rsidR="00A358A7" w:rsidRPr="00275D24" w:rsidRDefault="006A7671" w:rsidP="00275D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D2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358A7" w:rsidRPr="00275D24">
        <w:rPr>
          <w:rFonts w:ascii="Times New Roman" w:hAnsi="Times New Roman" w:cs="Times New Roman"/>
          <w:sz w:val="24"/>
          <w:szCs w:val="24"/>
          <w:lang w:val="uk-UA"/>
        </w:rPr>
        <w:t>ошт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>и,</w:t>
      </w:r>
      <w:r w:rsidR="00A358A7" w:rsidRPr="00275D24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передбачені в міському бюджеті на виконання виборчих програм і доручень виборців у 2016 році</w:t>
      </w:r>
      <w:r w:rsidR="00741CD3">
        <w:rPr>
          <w:rFonts w:ascii="Times New Roman" w:hAnsi="Times New Roman" w:cs="Times New Roman"/>
          <w:sz w:val="24"/>
          <w:szCs w:val="24"/>
          <w:lang w:val="uk-UA"/>
        </w:rPr>
        <w:t>, були витрачені наступним чином</w:t>
      </w:r>
      <w:r w:rsidRPr="00275D2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536"/>
        <w:gridCol w:w="2126"/>
      </w:tblGrid>
      <w:tr w:rsidR="00143E73" w:rsidTr="00FD608F">
        <w:tc>
          <w:tcPr>
            <w:tcW w:w="534" w:type="dxa"/>
            <w:vAlign w:val="center"/>
          </w:tcPr>
          <w:p w:rsidR="00143E73" w:rsidRPr="00E14C1A" w:rsidRDefault="008D5EBB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 w:colFirst="3" w:colLast="3"/>
            <w:r w:rsidRPr="00E14C1A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268" w:type="dxa"/>
            <w:vAlign w:val="center"/>
          </w:tcPr>
          <w:p w:rsidR="00143E73" w:rsidRPr="00E14C1A" w:rsidRDefault="00143E73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Соціальна сфера</w:t>
            </w:r>
          </w:p>
        </w:tc>
        <w:tc>
          <w:tcPr>
            <w:tcW w:w="4536" w:type="dxa"/>
            <w:vAlign w:val="center"/>
          </w:tcPr>
          <w:p w:rsidR="00143E73" w:rsidRPr="00E14C1A" w:rsidRDefault="008D5EBB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Цільове призначення</w:t>
            </w:r>
          </w:p>
        </w:tc>
        <w:tc>
          <w:tcPr>
            <w:tcW w:w="2126" w:type="dxa"/>
            <w:vAlign w:val="center"/>
          </w:tcPr>
          <w:p w:rsidR="00143E73" w:rsidRPr="00E14C1A" w:rsidRDefault="008D5EBB" w:rsidP="00E14C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Сума коштів, грн.</w:t>
            </w:r>
          </w:p>
        </w:tc>
      </w:tr>
      <w:tr w:rsidR="008D5EBB" w:rsidTr="00FD608F">
        <w:tc>
          <w:tcPr>
            <w:tcW w:w="534" w:type="dxa"/>
          </w:tcPr>
          <w:p w:rsidR="008D5EBB" w:rsidRDefault="008D5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68" w:type="dxa"/>
          </w:tcPr>
          <w:p w:rsidR="008D5EBB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захист</w:t>
            </w:r>
          </w:p>
        </w:tc>
        <w:tc>
          <w:tcPr>
            <w:tcW w:w="4536" w:type="dxa"/>
          </w:tcPr>
          <w:p w:rsidR="008D5EBB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Лікування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онкохворої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Шевченко С.В.</w:t>
            </w:r>
          </w:p>
        </w:tc>
        <w:tc>
          <w:tcPr>
            <w:tcW w:w="2126" w:type="dxa"/>
          </w:tcPr>
          <w:p w:rsidR="008D5EBB" w:rsidRDefault="009432AE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</w:tr>
      <w:tr w:rsidR="009432AE" w:rsidTr="00FD608F">
        <w:tc>
          <w:tcPr>
            <w:tcW w:w="534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68" w:type="dxa"/>
          </w:tcPr>
          <w:p w:rsidR="009432AE" w:rsidRDefault="009432AE" w:rsidP="00F061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захист</w:t>
            </w:r>
          </w:p>
        </w:tc>
        <w:tc>
          <w:tcPr>
            <w:tcW w:w="4536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Лікування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ортезування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кінцівок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Коротижка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Б.О.</w:t>
            </w:r>
          </w:p>
        </w:tc>
        <w:tc>
          <w:tcPr>
            <w:tcW w:w="2126" w:type="dxa"/>
          </w:tcPr>
          <w:p w:rsidR="009432AE" w:rsidRDefault="009432AE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</w:tr>
      <w:tr w:rsidR="009432AE" w:rsidTr="00FD608F">
        <w:tc>
          <w:tcPr>
            <w:tcW w:w="534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268" w:type="dxa"/>
          </w:tcPr>
          <w:p w:rsidR="009432AE" w:rsidRDefault="009432AE" w:rsidP="00F061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захист</w:t>
            </w:r>
          </w:p>
        </w:tc>
        <w:tc>
          <w:tcPr>
            <w:tcW w:w="4536" w:type="dxa"/>
          </w:tcPr>
          <w:p w:rsidR="009432AE" w:rsidRDefault="009432AE" w:rsidP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оздоровлення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С.І. – 1000,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Свегіної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К.М. – 1000,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Лісовенко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 </w:t>
            </w:r>
            <w:r>
              <w:rPr>
                <w:rFonts w:ascii="Times New Roman" w:hAnsi="Times New Roman" w:cs="Times New Roman"/>
                <w:lang w:val="uk-UA"/>
              </w:rPr>
              <w:noBreakHyphen/>
              <w:t xml:space="preserve"> 2000 </w:t>
            </w:r>
          </w:p>
        </w:tc>
        <w:tc>
          <w:tcPr>
            <w:tcW w:w="2126" w:type="dxa"/>
          </w:tcPr>
          <w:p w:rsidR="009432AE" w:rsidRDefault="009432AE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</w:t>
            </w:r>
          </w:p>
        </w:tc>
      </w:tr>
      <w:tr w:rsidR="009432AE" w:rsidTr="00FD608F">
        <w:tc>
          <w:tcPr>
            <w:tcW w:w="534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268" w:type="dxa"/>
          </w:tcPr>
          <w:p w:rsidR="009432AE" w:rsidRPr="009432AE" w:rsidRDefault="009432AE">
            <w:pPr>
              <w:rPr>
                <w:rFonts w:ascii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Охорона здоров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>’</w:t>
            </w:r>
            <w:r w:rsidRPr="009432AE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4536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Придбання медобладнання для дитячої лікарні Святої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Зинаїди</w:t>
            </w:r>
            <w:proofErr w:type="spellEnd"/>
          </w:p>
        </w:tc>
        <w:tc>
          <w:tcPr>
            <w:tcW w:w="2126" w:type="dxa"/>
          </w:tcPr>
          <w:p w:rsidR="009432AE" w:rsidRDefault="009432AE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10000</w:t>
            </w:r>
          </w:p>
        </w:tc>
      </w:tr>
      <w:tr w:rsidR="009432AE" w:rsidTr="00FD608F">
        <w:tc>
          <w:tcPr>
            <w:tcW w:w="534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268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Культура</w:t>
            </w:r>
          </w:p>
        </w:tc>
        <w:tc>
          <w:tcPr>
            <w:tcW w:w="4536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Розробка та виготовлення пам’ятного знаку Лисенко М.Г. для художньої школи</w:t>
            </w:r>
          </w:p>
        </w:tc>
        <w:tc>
          <w:tcPr>
            <w:tcW w:w="2126" w:type="dxa"/>
          </w:tcPr>
          <w:p w:rsidR="009432AE" w:rsidRDefault="009432AE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20000</w:t>
            </w:r>
          </w:p>
        </w:tc>
      </w:tr>
      <w:tr w:rsidR="009432AE" w:rsidTr="00FD608F">
        <w:tc>
          <w:tcPr>
            <w:tcW w:w="534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268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4536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металевих вхідних дверей та ноутбука для ДНЗ №12</w:t>
            </w:r>
          </w:p>
        </w:tc>
        <w:tc>
          <w:tcPr>
            <w:tcW w:w="2126" w:type="dxa"/>
          </w:tcPr>
          <w:p w:rsidR="009432AE" w:rsidRDefault="009432AE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32000</w:t>
            </w:r>
          </w:p>
        </w:tc>
      </w:tr>
      <w:tr w:rsidR="009432AE" w:rsidTr="00FD608F">
        <w:tc>
          <w:tcPr>
            <w:tcW w:w="534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268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</w:t>
            </w:r>
          </w:p>
        </w:tc>
        <w:tc>
          <w:tcPr>
            <w:tcW w:w="4536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спортивного інвентарю для КДЮСШ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Фрунзенець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26" w:type="dxa"/>
          </w:tcPr>
          <w:p w:rsidR="009432AE" w:rsidRDefault="009432AE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</w:tr>
      <w:tr w:rsidR="009432AE" w:rsidTr="00FD608F">
        <w:tc>
          <w:tcPr>
            <w:tcW w:w="534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268" w:type="dxa"/>
          </w:tcPr>
          <w:p w:rsidR="009432AE" w:rsidRDefault="009432AE" w:rsidP="00F061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захист</w:t>
            </w:r>
          </w:p>
        </w:tc>
        <w:tc>
          <w:tcPr>
            <w:tcW w:w="4536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Лікування Вербицької А.М.</w:t>
            </w:r>
          </w:p>
        </w:tc>
        <w:tc>
          <w:tcPr>
            <w:tcW w:w="2126" w:type="dxa"/>
          </w:tcPr>
          <w:p w:rsidR="009432AE" w:rsidRDefault="009432AE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</w:tr>
      <w:tr w:rsidR="009432AE" w:rsidTr="00FD608F">
        <w:tc>
          <w:tcPr>
            <w:tcW w:w="534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268" w:type="dxa"/>
          </w:tcPr>
          <w:p w:rsidR="009432AE" w:rsidRDefault="009432AE" w:rsidP="00F061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4536" w:type="dxa"/>
          </w:tcPr>
          <w:p w:rsidR="009432AE" w:rsidRDefault="009432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проектора для ДНЗ №18</w:t>
            </w:r>
          </w:p>
        </w:tc>
        <w:tc>
          <w:tcPr>
            <w:tcW w:w="2126" w:type="dxa"/>
          </w:tcPr>
          <w:p w:rsidR="009432AE" w:rsidRDefault="009432AE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10000</w:t>
            </w:r>
          </w:p>
        </w:tc>
      </w:tr>
      <w:tr w:rsidR="002C635E" w:rsidTr="00FD608F">
        <w:tc>
          <w:tcPr>
            <w:tcW w:w="534" w:type="dxa"/>
          </w:tcPr>
          <w:p w:rsidR="002C635E" w:rsidRDefault="002C63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268" w:type="dxa"/>
          </w:tcPr>
          <w:p w:rsidR="002C635E" w:rsidRDefault="002C635E" w:rsidP="00F061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захист</w:t>
            </w:r>
          </w:p>
        </w:tc>
        <w:tc>
          <w:tcPr>
            <w:tcW w:w="4536" w:type="dxa"/>
          </w:tcPr>
          <w:p w:rsidR="002C635E" w:rsidRDefault="002C63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автомобіля для КУ «Берегиня»</w:t>
            </w:r>
          </w:p>
        </w:tc>
        <w:tc>
          <w:tcPr>
            <w:tcW w:w="2126" w:type="dxa"/>
          </w:tcPr>
          <w:p w:rsidR="002C635E" w:rsidRDefault="002C635E" w:rsidP="00E14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</w:t>
            </w:r>
          </w:p>
        </w:tc>
      </w:tr>
      <w:tr w:rsidR="009432AE" w:rsidTr="00FD608F">
        <w:tc>
          <w:tcPr>
            <w:tcW w:w="7338" w:type="dxa"/>
            <w:gridSpan w:val="3"/>
          </w:tcPr>
          <w:p w:rsidR="009432AE" w:rsidRPr="00E14C1A" w:rsidRDefault="009432AE" w:rsidP="00E14C1A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E14C1A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2126" w:type="dxa"/>
          </w:tcPr>
          <w:p w:rsidR="009432AE" w:rsidRPr="00E14C1A" w:rsidRDefault="002C635E" w:rsidP="002C63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101 </w:t>
            </w:r>
            <w:r w:rsidR="009432AE" w:rsidRPr="00E14C1A">
              <w:rPr>
                <w:rFonts w:ascii="Times New Roman" w:hAnsi="Times New Roman" w:cs="Times New Roman"/>
                <w:b/>
                <w:lang w:val="uk-UA"/>
              </w:rPr>
              <w:t>000</w:t>
            </w:r>
          </w:p>
        </w:tc>
      </w:tr>
      <w:bookmarkEnd w:id="0"/>
    </w:tbl>
    <w:p w:rsidR="00143E73" w:rsidRDefault="00143E73">
      <w:pPr>
        <w:rPr>
          <w:rFonts w:ascii="Times New Roman" w:hAnsi="Times New Roman" w:cs="Times New Roman"/>
          <w:lang w:val="uk-UA"/>
        </w:rPr>
      </w:pPr>
    </w:p>
    <w:p w:rsidR="00275D24" w:rsidRPr="0072407C" w:rsidRDefault="00275D24" w:rsidP="00275D2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07C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275D24" w:rsidRPr="0096479B" w:rsidRDefault="00275D24" w:rsidP="007240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07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рішення міської ради є членом </w:t>
      </w:r>
      <w:r w:rsidR="0072407C" w:rsidRPr="0072407C">
        <w:rPr>
          <w:rFonts w:ascii="Times New Roman" w:hAnsi="Times New Roman" w:cs="Times New Roman"/>
          <w:sz w:val="24"/>
          <w:szCs w:val="24"/>
          <w:lang w:val="uk-UA"/>
        </w:rPr>
        <w:t>тимчасової к</w:t>
      </w:r>
      <w:r w:rsidR="0096479B">
        <w:rPr>
          <w:rFonts w:ascii="Times New Roman" w:hAnsi="Times New Roman" w:cs="Times New Roman"/>
          <w:sz w:val="24"/>
          <w:szCs w:val="24"/>
          <w:lang w:val="uk-UA"/>
        </w:rPr>
        <w:t xml:space="preserve">онтрольної комісії з </w:t>
      </w:r>
      <w:r w:rsidR="0096479B" w:rsidRPr="0096479B">
        <w:rPr>
          <w:rFonts w:ascii="Times New Roman" w:hAnsi="Times New Roman" w:cs="Times New Roman"/>
          <w:sz w:val="24"/>
          <w:szCs w:val="24"/>
          <w:lang w:val="uk-UA"/>
        </w:rPr>
        <w:t>питань перевірки та дослідження діяльності ТОВ «</w:t>
      </w:r>
      <w:proofErr w:type="spellStart"/>
      <w:r w:rsidR="0096479B" w:rsidRPr="0096479B">
        <w:rPr>
          <w:rFonts w:ascii="Times New Roman" w:hAnsi="Times New Roman" w:cs="Times New Roman"/>
          <w:sz w:val="24"/>
          <w:szCs w:val="24"/>
          <w:lang w:val="uk-UA"/>
        </w:rPr>
        <w:t>Сумитеплоенерго</w:t>
      </w:r>
      <w:proofErr w:type="spellEnd"/>
      <w:r w:rsidR="0096479B" w:rsidRPr="0096479B">
        <w:rPr>
          <w:rFonts w:ascii="Times New Roman" w:hAnsi="Times New Roman" w:cs="Times New Roman"/>
          <w:sz w:val="24"/>
          <w:szCs w:val="24"/>
          <w:lang w:val="uk-UA"/>
        </w:rPr>
        <w:t>» стосовно ефективності використання орендованого майна – цілісного майнового комплексу</w:t>
      </w:r>
      <w:r w:rsidR="0096479B">
        <w:rPr>
          <w:rFonts w:ascii="Times New Roman" w:hAnsi="Times New Roman" w:cs="Times New Roman"/>
          <w:sz w:val="24"/>
          <w:szCs w:val="24"/>
          <w:lang w:val="uk-UA"/>
        </w:rPr>
        <w:t xml:space="preserve">, а також головою </w:t>
      </w:r>
      <w:r w:rsidR="0096479B" w:rsidRPr="0072407C">
        <w:rPr>
          <w:rFonts w:ascii="Times New Roman" w:hAnsi="Times New Roman" w:cs="Times New Roman"/>
          <w:sz w:val="24"/>
          <w:szCs w:val="24"/>
          <w:lang w:val="uk-UA"/>
        </w:rPr>
        <w:t>тимчасової к</w:t>
      </w:r>
      <w:r w:rsidR="0096479B">
        <w:rPr>
          <w:rFonts w:ascii="Times New Roman" w:hAnsi="Times New Roman" w:cs="Times New Roman"/>
          <w:sz w:val="24"/>
          <w:szCs w:val="24"/>
          <w:lang w:val="uk-UA"/>
        </w:rPr>
        <w:t xml:space="preserve">онтрольної комісії </w:t>
      </w:r>
      <w:r w:rsidR="0096479B" w:rsidRPr="0096479B">
        <w:rPr>
          <w:rFonts w:ascii="Times New Roman" w:hAnsi="Times New Roman" w:cs="Times New Roman"/>
          <w:sz w:val="24"/>
          <w:szCs w:val="24"/>
          <w:lang w:val="uk-UA"/>
        </w:rPr>
        <w:t>з питань проведення закупівель управлінням капітального будівництва та дорожнього господарства</w:t>
      </w:r>
      <w:r w:rsidR="009647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407C" w:rsidRPr="0072407C" w:rsidRDefault="0072407C" w:rsidP="007240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07C">
        <w:rPr>
          <w:rFonts w:ascii="Times New Roman" w:hAnsi="Times New Roman" w:cs="Times New Roman"/>
          <w:sz w:val="24"/>
          <w:szCs w:val="24"/>
          <w:lang w:val="uk-UA"/>
        </w:rPr>
        <w:t>Розпорядженням міського голови мене включено до складу Координаційної ради з питань громадського (</w:t>
      </w:r>
      <w:proofErr w:type="spellStart"/>
      <w:r w:rsidRPr="0072407C">
        <w:rPr>
          <w:rFonts w:ascii="Times New Roman" w:hAnsi="Times New Roman" w:cs="Times New Roman"/>
          <w:sz w:val="24"/>
          <w:szCs w:val="24"/>
          <w:lang w:val="uk-UA"/>
        </w:rPr>
        <w:t>партиципаторного</w:t>
      </w:r>
      <w:proofErr w:type="spellEnd"/>
      <w:r w:rsidRPr="0072407C">
        <w:rPr>
          <w:rFonts w:ascii="Times New Roman" w:hAnsi="Times New Roman" w:cs="Times New Roman"/>
          <w:sz w:val="24"/>
          <w:szCs w:val="24"/>
          <w:lang w:val="uk-UA"/>
        </w:rPr>
        <w:t>) бюджету м. Суми.</w:t>
      </w:r>
    </w:p>
    <w:p w:rsidR="00D1723A" w:rsidRDefault="00D1723A" w:rsidP="00275D24">
      <w:pPr>
        <w:jc w:val="center"/>
        <w:rPr>
          <w:rFonts w:ascii="Times New Roman" w:hAnsi="Times New Roman" w:cs="Times New Roman"/>
          <w:lang w:val="uk-UA"/>
        </w:rPr>
      </w:pPr>
    </w:p>
    <w:p w:rsidR="0072407C" w:rsidRPr="00D1723A" w:rsidRDefault="002C635E" w:rsidP="00D1723A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А.Б. </w:t>
      </w:r>
      <w:proofErr w:type="spellStart"/>
      <w:r>
        <w:rPr>
          <w:rFonts w:ascii="Times New Roman" w:hAnsi="Times New Roman" w:cs="Times New Roman"/>
          <w:lang w:val="uk-UA"/>
        </w:rPr>
        <w:t>Крамченков</w:t>
      </w:r>
      <w:proofErr w:type="spellEnd"/>
    </w:p>
    <w:sectPr w:rsidR="0072407C" w:rsidRPr="00D1723A" w:rsidSect="00F3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3FB"/>
    <w:rsid w:val="000412A6"/>
    <w:rsid w:val="00060E0D"/>
    <w:rsid w:val="00096D48"/>
    <w:rsid w:val="00101602"/>
    <w:rsid w:val="00143E73"/>
    <w:rsid w:val="001804AB"/>
    <w:rsid w:val="00205726"/>
    <w:rsid w:val="00275D24"/>
    <w:rsid w:val="00287A6D"/>
    <w:rsid w:val="002C635E"/>
    <w:rsid w:val="00324C29"/>
    <w:rsid w:val="00343795"/>
    <w:rsid w:val="0037264B"/>
    <w:rsid w:val="003A2CC9"/>
    <w:rsid w:val="003E2020"/>
    <w:rsid w:val="004E4EEC"/>
    <w:rsid w:val="005D3DE9"/>
    <w:rsid w:val="006A7671"/>
    <w:rsid w:val="0072407C"/>
    <w:rsid w:val="00741CD3"/>
    <w:rsid w:val="00772333"/>
    <w:rsid w:val="007866A7"/>
    <w:rsid w:val="007D006D"/>
    <w:rsid w:val="00850928"/>
    <w:rsid w:val="0085120E"/>
    <w:rsid w:val="008C258F"/>
    <w:rsid w:val="008D5EBB"/>
    <w:rsid w:val="00930ECD"/>
    <w:rsid w:val="009432AE"/>
    <w:rsid w:val="0096479B"/>
    <w:rsid w:val="00A358A7"/>
    <w:rsid w:val="00A54A11"/>
    <w:rsid w:val="00B8363D"/>
    <w:rsid w:val="00C1379D"/>
    <w:rsid w:val="00C303FB"/>
    <w:rsid w:val="00C52E8D"/>
    <w:rsid w:val="00C92B39"/>
    <w:rsid w:val="00CB3978"/>
    <w:rsid w:val="00D1723A"/>
    <w:rsid w:val="00D26FFF"/>
    <w:rsid w:val="00D434E9"/>
    <w:rsid w:val="00DE61B9"/>
    <w:rsid w:val="00E14C1A"/>
    <w:rsid w:val="00F31154"/>
    <w:rsid w:val="00F36DCA"/>
    <w:rsid w:val="00FD608F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7515-0BD0-401A-AFDE-69D72D63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CA"/>
  </w:style>
  <w:style w:type="paragraph" w:styleId="1">
    <w:name w:val="heading 1"/>
    <w:basedOn w:val="a"/>
    <w:link w:val="10"/>
    <w:uiPriority w:val="9"/>
    <w:qFormat/>
    <w:rsid w:val="00143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B9"/>
    <w:pPr>
      <w:ind w:left="720"/>
      <w:contextualSpacing/>
    </w:pPr>
  </w:style>
  <w:style w:type="paragraph" w:styleId="a4">
    <w:name w:val="No Spacing"/>
    <w:uiPriority w:val="1"/>
    <w:qFormat/>
    <w:rsid w:val="008509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850928"/>
  </w:style>
  <w:style w:type="character" w:customStyle="1" w:styleId="410">
    <w:name w:val="Основной текст (4) + 10"/>
    <w:aliases w:val="5 pt4"/>
    <w:basedOn w:val="a0"/>
    <w:rsid w:val="00850928"/>
    <w:rPr>
      <w:rFonts w:ascii="Times New Roman" w:hAnsi="Times New Roman" w:cs="Times New Roman" w:hint="default"/>
      <w:sz w:val="21"/>
      <w:szCs w:val="21"/>
      <w:lang w:bidi="ar-SA"/>
    </w:rPr>
  </w:style>
  <w:style w:type="paragraph" w:styleId="3">
    <w:name w:val="Body Text Indent 3"/>
    <w:basedOn w:val="a"/>
    <w:link w:val="30"/>
    <w:semiHidden/>
    <w:unhideWhenUsed/>
    <w:rsid w:val="00CB39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CB3978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43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14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6479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C6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BA34E-03C9-4E77-ADE7-496550AB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Конікова Світлана Анатоліївна</cp:lastModifiedBy>
  <cp:revision>10</cp:revision>
  <dcterms:created xsi:type="dcterms:W3CDTF">2017-02-19T12:58:00Z</dcterms:created>
  <dcterms:modified xsi:type="dcterms:W3CDTF">2017-02-20T12:02:00Z</dcterms:modified>
</cp:coreProperties>
</file>