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-599440</wp:posOffset>
            </wp:positionV>
            <wp:extent cx="4705350" cy="11366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DCA" w:rsidRPr="00275D24" w:rsidRDefault="00C303FB" w:rsidP="00FC4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D24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</w:p>
    <w:p w:rsidR="00C303FB" w:rsidRPr="00275D24" w:rsidRDefault="00C303FB" w:rsidP="00FC42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D24">
        <w:rPr>
          <w:rFonts w:ascii="Times New Roman" w:hAnsi="Times New Roman" w:cs="Times New Roman"/>
          <w:sz w:val="28"/>
          <w:szCs w:val="28"/>
          <w:lang w:val="uk-UA"/>
        </w:rPr>
        <w:t>депутата Сумської міської ради</w:t>
      </w:r>
    </w:p>
    <w:p w:rsidR="00275D24" w:rsidRPr="00275D24" w:rsidRDefault="00275D24" w:rsidP="00FC4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D24">
        <w:rPr>
          <w:rFonts w:ascii="Times New Roman" w:hAnsi="Times New Roman" w:cs="Times New Roman"/>
          <w:b/>
          <w:sz w:val="28"/>
          <w:szCs w:val="28"/>
          <w:lang w:val="uk-UA"/>
        </w:rPr>
        <w:t>ЧЕПІКА ВОЛОДИМИРА ІГОРЕВИЧА</w:t>
      </w:r>
    </w:p>
    <w:p w:rsidR="00275D24" w:rsidRPr="00275D24" w:rsidRDefault="00275D24" w:rsidP="00FC42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D24">
        <w:rPr>
          <w:rFonts w:ascii="Times New Roman" w:hAnsi="Times New Roman" w:cs="Times New Roman"/>
          <w:sz w:val="28"/>
          <w:szCs w:val="28"/>
          <w:lang w:val="uk-UA"/>
        </w:rPr>
        <w:t>2016 рік</w:t>
      </w:r>
    </w:p>
    <w:p w:rsidR="00060E0D" w:rsidRPr="00A17C1A" w:rsidRDefault="00060E0D" w:rsidP="00275D2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C303FB" w:rsidRPr="00275D24" w:rsidRDefault="00C303FB" w:rsidP="00275D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sz w:val="24"/>
          <w:szCs w:val="24"/>
          <w:lang w:val="uk-UA"/>
        </w:rPr>
        <w:t>Межі округу № 3: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Троїцька: 9,13,17-33; пров. </w:t>
      </w:r>
      <w:proofErr w:type="spellStart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Інституцький</w:t>
      </w:r>
      <w:proofErr w:type="spellEnd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вул. Бельгійська: 1–9 к.1; вул. </w:t>
      </w:r>
      <w:proofErr w:type="spellStart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Новомістенська</w:t>
      </w:r>
      <w:proofErr w:type="spellEnd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: 1–12; вул. Рибалка: 4–10; Робітниче Селище 14; Сумський пологовий будинок №1</w:t>
      </w:r>
    </w:p>
    <w:p w:rsidR="00C303FB" w:rsidRPr="00A17C1A" w:rsidRDefault="00C303FB" w:rsidP="00275D24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A358A7" w:rsidRPr="00275D24" w:rsidRDefault="005D3DE9" w:rsidP="00275D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Сесійна робота</w:t>
      </w:r>
    </w:p>
    <w:p w:rsidR="00A358A7" w:rsidRPr="00A17C1A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7866A7" w:rsidRPr="00275D24" w:rsidRDefault="007866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У 2016 році був присутній на всіх зас</w:t>
      </w:r>
      <w:r w:rsidR="00A358A7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іданнях Сумської міської ради (в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сього -</w:t>
      </w:r>
      <w:r w:rsidR="00D26F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A358A7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1379D" w:rsidRPr="00275D24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проведення засідань ради мною було</w:t>
      </w:r>
      <w:r w:rsidR="00CB3978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озвучено та </w:t>
      </w:r>
      <w:r w:rsidR="00343795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підтримано Сумською міською радою 15 депутатських запитів.</w:t>
      </w:r>
    </w:p>
    <w:p w:rsidR="00A358A7" w:rsidRPr="00275D24" w:rsidRDefault="00143E73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ініціативою фракції</w:t>
      </w:r>
      <w:r w:rsidR="00D172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політичної партії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«За Україну!» п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риймав участь у розробці близько 10 проектів рішень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ради.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Підготовлено близько 20 пропозицій до проектів рішень міської ради.</w:t>
      </w:r>
    </w:p>
    <w:p w:rsidR="00143E73" w:rsidRPr="00275D24" w:rsidRDefault="005D3DE9" w:rsidP="00275D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Під час засідань ради активно відстоював пропозиції громадськості щодо необхідності </w:t>
      </w:r>
      <w:r w:rsidR="00C1379D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закупівлі </w:t>
      </w:r>
      <w:r w:rsidR="00143E73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великих автобусів зі 100% низьким рівнем підлоги, впровадження у виконавчих органах ради та комунальних підприємствах допорогових закупівель через електронну систему публічних </w:t>
      </w:r>
      <w:proofErr w:type="spellStart"/>
      <w:r w:rsidR="00143E73" w:rsidRPr="00275D2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143E73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3E73" w:rsidRPr="00275D24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143E73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, збільшення ефективності використання коштів бюджету м. Суми. </w:t>
      </w:r>
    </w:p>
    <w:p w:rsidR="00C1379D" w:rsidRPr="00275D24" w:rsidRDefault="00C1379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Був розробником проекту рішення про скасування рішення виконавчого комітету щодо підвищення тарифів </w:t>
      </w:r>
      <w:r w:rsidR="00143E73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житлово-комунальні послуги у місті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Даний проект рішення не було підтримано міським головою та більшістю депутатів ВО «Батьківщина».</w:t>
      </w:r>
    </w:p>
    <w:p w:rsidR="006A7671" w:rsidRPr="00275D24" w:rsidRDefault="006A7671" w:rsidP="00275D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Одним з пріоритетних завдань моєї депутатської діяльності було забезпечення соціальних гарантій учасників війни на сході нашої країни. За спільною ініціативою з депутатом Володимиром </w:t>
      </w:r>
      <w:proofErr w:type="spellStart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Никоненко</w:t>
      </w:r>
      <w:proofErr w:type="spellEnd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Сумською міською радою у 2016 році була прийнята комплексна 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міська програма «Соціальна підтримка учасників антитерористичної операції та членів їх сімей» на 2017-2018 роки. Плановий обсяг коштів на соціальні гарантії, які надані додатково до встановлених чинним законодавством на 2017 рік становить 9 млн.670 грн. Ініціатива полягала поряд із загальноприйнятими пільгами та гарантіями у 2017 році розширити їх перелік та запровадити додаткові: </w:t>
      </w:r>
    </w:p>
    <w:p w:rsidR="006A7671" w:rsidRPr="00275D24" w:rsidRDefault="006A7671" w:rsidP="00275D24">
      <w:pPr>
        <w:pStyle w:val="a4"/>
        <w:ind w:firstLine="567"/>
        <w:jc w:val="both"/>
        <w:rPr>
          <w:sz w:val="24"/>
          <w:szCs w:val="24"/>
        </w:rPr>
      </w:pPr>
      <w:r w:rsidRPr="00275D24">
        <w:rPr>
          <w:rStyle w:val="410"/>
          <w:sz w:val="24"/>
          <w:szCs w:val="24"/>
        </w:rPr>
        <w:t>1)</w:t>
      </w:r>
      <w:r w:rsidRPr="00275D24">
        <w:rPr>
          <w:sz w:val="24"/>
          <w:szCs w:val="24"/>
        </w:rPr>
        <w:t xml:space="preserve"> надання щорічної матеріальної допомоги на оздоровлення дітям, батьки (один з батьків) яких загинули під час бойових дій в АТО та запровадження виплат коштів даній категорії дітей до Дня незалежності України;</w:t>
      </w:r>
    </w:p>
    <w:p w:rsidR="006A7671" w:rsidRPr="00275D24" w:rsidRDefault="006A7671" w:rsidP="00275D24">
      <w:pPr>
        <w:pStyle w:val="a4"/>
        <w:ind w:firstLine="567"/>
        <w:jc w:val="both"/>
        <w:rPr>
          <w:sz w:val="24"/>
          <w:szCs w:val="24"/>
          <w:shd w:val="clear" w:color="auto" w:fill="FEFEFE"/>
        </w:rPr>
      </w:pPr>
      <w:r w:rsidRPr="00275D24">
        <w:rPr>
          <w:sz w:val="24"/>
          <w:szCs w:val="24"/>
        </w:rPr>
        <w:t xml:space="preserve">2) виділення цільових коштів на фінансування видатків </w:t>
      </w:r>
      <w:r w:rsidRPr="00275D24">
        <w:rPr>
          <w:sz w:val="24"/>
          <w:szCs w:val="24"/>
          <w:shd w:val="clear" w:color="auto" w:fill="FEFEFE"/>
        </w:rPr>
        <w:t>термінового оперативного лікування, придбання медикаментів, протезування для учасників АТО і членів їх сімей;</w:t>
      </w:r>
    </w:p>
    <w:p w:rsidR="006A7671" w:rsidRPr="00275D24" w:rsidRDefault="006A7671" w:rsidP="00275D24">
      <w:pPr>
        <w:pStyle w:val="a4"/>
        <w:ind w:firstLine="567"/>
        <w:jc w:val="both"/>
        <w:rPr>
          <w:sz w:val="24"/>
          <w:szCs w:val="24"/>
          <w:shd w:val="clear" w:color="auto" w:fill="FEFEFE"/>
        </w:rPr>
      </w:pPr>
      <w:r w:rsidRPr="00275D24">
        <w:rPr>
          <w:sz w:val="24"/>
          <w:szCs w:val="24"/>
          <w:shd w:val="clear" w:color="auto" w:fill="FEFEFE"/>
        </w:rPr>
        <w:t>3) надання матеріальної допомоги сім’ям загиблих для поліпшення соціально-побутових умов проживання;</w:t>
      </w:r>
    </w:p>
    <w:p w:rsidR="006A7671" w:rsidRPr="00275D24" w:rsidRDefault="006A7671" w:rsidP="00275D24">
      <w:pPr>
        <w:pStyle w:val="a4"/>
        <w:ind w:firstLine="567"/>
        <w:jc w:val="both"/>
        <w:rPr>
          <w:sz w:val="24"/>
          <w:szCs w:val="24"/>
        </w:rPr>
      </w:pPr>
      <w:r w:rsidRPr="00275D24">
        <w:rPr>
          <w:sz w:val="24"/>
          <w:szCs w:val="24"/>
          <w:shd w:val="clear" w:color="auto" w:fill="FEFEFE"/>
        </w:rPr>
        <w:t xml:space="preserve">4) </w:t>
      </w:r>
      <w:r w:rsidRPr="00275D24">
        <w:rPr>
          <w:sz w:val="24"/>
          <w:szCs w:val="24"/>
        </w:rPr>
        <w:t>виділення цільових коштів на фінансування видатків амбулаторного та стаціонарного лікування учасників АТО.</w:t>
      </w:r>
    </w:p>
    <w:p w:rsidR="006A7671" w:rsidRPr="00275D24" w:rsidRDefault="006A7671" w:rsidP="00275D24">
      <w:pPr>
        <w:pStyle w:val="a4"/>
        <w:ind w:firstLine="567"/>
        <w:jc w:val="both"/>
        <w:rPr>
          <w:rStyle w:val="410"/>
          <w:sz w:val="24"/>
          <w:szCs w:val="24"/>
        </w:rPr>
      </w:pPr>
      <w:r w:rsidRPr="00275D24">
        <w:rPr>
          <w:rStyle w:val="apple-converted-space"/>
          <w:sz w:val="24"/>
          <w:szCs w:val="24"/>
          <w:shd w:val="clear" w:color="auto" w:fill="FFFFFF"/>
        </w:rPr>
        <w:t>5) надання о</w:t>
      </w:r>
      <w:r w:rsidRPr="00275D24">
        <w:rPr>
          <w:rStyle w:val="410"/>
          <w:sz w:val="24"/>
          <w:szCs w:val="24"/>
        </w:rPr>
        <w:t>дноразової матеріальної допомоги демобілізованим особам.</w:t>
      </w:r>
    </w:p>
    <w:p w:rsidR="00143E73" w:rsidRPr="00275D24" w:rsidRDefault="00143E73" w:rsidP="00275D2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358A7" w:rsidRDefault="00A358A7" w:rsidP="00275D2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Робота </w:t>
      </w:r>
      <w:r w:rsidR="006A7671"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 межах</w:t>
      </w: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окру</w:t>
      </w:r>
      <w:r w:rsidR="006A7671"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гу</w:t>
      </w:r>
    </w:p>
    <w:p w:rsidR="00275D24" w:rsidRPr="00275D24" w:rsidRDefault="00275D24" w:rsidP="00275D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358A7" w:rsidRPr="00275D24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2016 рік було проведено близько 10 колективн</w:t>
      </w:r>
      <w:r w:rsidR="006A7671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их зустрічей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під час особистого прийому прийнято понад </w:t>
      </w:r>
      <w:r w:rsidR="006A7671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80 мешканців міста.</w:t>
      </w:r>
    </w:p>
    <w:p w:rsidR="00F31154" w:rsidRPr="00275D24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6A7671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результатами зустрічей мною підготовлено </w:t>
      </w:r>
      <w:r w:rsidR="00060E0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C52E8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060E0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43795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депутатських звернень, які стосуються забезпечення життєдіяльності міста в цілому та проблемних питань жителів округу.</w:t>
      </w:r>
      <w:r w:rsidR="00C52E8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52E8D" w:rsidRPr="00275D24" w:rsidRDefault="00C52E8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результатами розгляду депутатських звернень спільно з мешканцями мікрорайону</w:t>
      </w:r>
      <w:r w:rsidR="00B8363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нам вдалося:</w:t>
      </w:r>
    </w:p>
    <w:p w:rsidR="00C52E8D" w:rsidRPr="00275D24" w:rsidRDefault="00C52E8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- відновити освітлення у дворах будинків 4 та 6 по вул. Р</w:t>
      </w:r>
      <w:r w:rsidRPr="00275D2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балко</w:t>
      </w:r>
      <w:r w:rsidR="00287A6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пров. Інститутський (приватний сектор)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E34A9" w:rsidRPr="00275D24" w:rsidRDefault="00FE34A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забезпечити обрізку та видалення аварійних дерев біля будинку № 13 по вул. Троїцька та № 5 по пров. Інститутський;</w:t>
      </w:r>
    </w:p>
    <w:p w:rsidR="00FE34A9" w:rsidRPr="00275D24" w:rsidRDefault="00C52E8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частково відремонтувати </w:t>
      </w:r>
      <w:r w:rsidR="00FE34A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покрівлі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будинків №№ </w:t>
      </w:r>
      <w:r w:rsidR="00FE34A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13,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26</w:t>
      </w:r>
      <w:r w:rsidR="00FE34A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, 29 та 33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E34A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вул. Троїцька, а також № 5 та 7 по пров. Інститутській;</w:t>
      </w:r>
    </w:p>
    <w:p w:rsidR="00C52E8D" w:rsidRPr="00275D24" w:rsidRDefault="00FE34A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- встановити дитячий майданчик у дворі будинку 18 по вул. Троїцька</w:t>
      </w:r>
      <w:r w:rsidR="00B8363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52E8D" w:rsidRPr="00275D24" w:rsidRDefault="00FE34A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B8363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частково </w:t>
      </w:r>
      <w:r w:rsidR="00287A6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ліквідувати ями на в’їздах у двори будинку № 12 по вул. </w:t>
      </w:r>
      <w:proofErr w:type="spellStart"/>
      <w:r w:rsidR="00287A6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Новомістенська</w:t>
      </w:r>
      <w:proofErr w:type="spellEnd"/>
      <w:r w:rsidR="00287A6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№9 по вул. Бельгійська (біля баків для сміття);</w:t>
      </w:r>
    </w:p>
    <w:p w:rsidR="00B8363D" w:rsidRPr="00275D24" w:rsidRDefault="00B8363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>ремонту каналізаційного відводу житлового будинку № 6 по вул. Рибалко (біля другого під’їзду);</w:t>
      </w:r>
    </w:p>
    <w:p w:rsidR="00287A6D" w:rsidRPr="00275D24" w:rsidRDefault="00287A6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здійснити заміну старих світильників на LED-лампи у дворі будинку № 4 по вул. </w:t>
      </w:r>
      <w:proofErr w:type="spellStart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Новомістенська</w:t>
      </w:r>
      <w:proofErr w:type="spellEnd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8363D" w:rsidRPr="00275D24" w:rsidRDefault="00B8363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- добитись прийняття рішення Сумської міської ради про відмову передачі у власність земельної ділянки у дворі будинку № 8 по вул. Рибалка на якій розміщено дитячий майданчик;</w:t>
      </w:r>
    </w:p>
    <w:p w:rsidR="00287A6D" w:rsidRPr="00275D24" w:rsidRDefault="00287A6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виконати ремонт водостічних труб та водовідведення у будинку № 5 по пров. Інститутський; </w:t>
      </w:r>
    </w:p>
    <w:p w:rsidR="00287A6D" w:rsidRDefault="00287A6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розпочати процедуру прийняття спортивного майданчика по </w:t>
      </w:r>
      <w:r w:rsid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Новомістенська</w:t>
      </w:r>
      <w:proofErr w:type="spellEnd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, 4 до комунальної власності з перспективою здійснення його реконструкції.</w:t>
      </w:r>
    </w:p>
    <w:p w:rsidR="00275D24" w:rsidRPr="00275D24" w:rsidRDefault="00275D24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87A6D" w:rsidRDefault="006A7671" w:rsidP="00275D2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Робота в постійній депутатській комісії</w:t>
      </w:r>
    </w:p>
    <w:p w:rsidR="00275D24" w:rsidRPr="00275D24" w:rsidRDefault="00275D24" w:rsidP="00275D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B3978" w:rsidRPr="00275D24" w:rsidRDefault="00CB3978" w:rsidP="000412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sz w:val="24"/>
          <w:szCs w:val="24"/>
          <w:lang w:val="uk-UA"/>
        </w:rPr>
        <w:t>Є членом постійної комісії з питань архітектури, містобудування, регулювання земельних відносин, природокористування та екології Сумської міської ради.</w:t>
      </w:r>
    </w:p>
    <w:p w:rsidR="00CB3978" w:rsidRDefault="00CB3978" w:rsidP="000412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За 2016 рік було проведено </w:t>
      </w:r>
      <w:r w:rsidR="007866A7" w:rsidRPr="00275D24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постійної комісії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(приймав участь у 44)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, на яких було 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розглянуто близько 1290 питань. 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>На кожному засіданні постійна комісія розглядає звернення фізичних та юридичних осіб. Для більш детального вивчення та обговорення питань комісія організовує спільні та виїзні засідання. Депутати комісії беруть активну участь у розширених, виїзних засіданнях. Така форма роботи дозволяє краще орієнтуватись в ситуації, приймати конкретні рішення. За звітний період постійна комісія була ініціатором близько 750 питань, які винесені на розгляд сесії Сумської міської ради.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5D24" w:rsidRDefault="00275D24" w:rsidP="00275D2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17C1A" w:rsidRDefault="00A17C1A" w:rsidP="00275D2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17C1A" w:rsidRPr="00275D24" w:rsidRDefault="00A17C1A" w:rsidP="00275D2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B3978" w:rsidRPr="00275D24" w:rsidRDefault="00143E73" w:rsidP="003F5CC1">
      <w:pPr>
        <w:pStyle w:val="3"/>
        <w:spacing w:after="0"/>
        <w:ind w:left="0"/>
        <w:jc w:val="center"/>
        <w:rPr>
          <w:b/>
          <w:sz w:val="24"/>
          <w:szCs w:val="24"/>
          <w:lang w:val="ru-RU"/>
        </w:rPr>
      </w:pPr>
      <w:proofErr w:type="spellStart"/>
      <w:r w:rsidRPr="00275D24">
        <w:rPr>
          <w:b/>
          <w:sz w:val="24"/>
          <w:szCs w:val="24"/>
          <w:lang w:val="ru-RU"/>
        </w:rPr>
        <w:lastRenderedPageBreak/>
        <w:t>Депутатські</w:t>
      </w:r>
      <w:proofErr w:type="spellEnd"/>
      <w:r w:rsidR="006A7671" w:rsidRPr="00275D24">
        <w:rPr>
          <w:b/>
          <w:sz w:val="24"/>
          <w:szCs w:val="24"/>
          <w:lang w:val="ru-RU"/>
        </w:rPr>
        <w:t xml:space="preserve"> </w:t>
      </w:r>
      <w:proofErr w:type="spellStart"/>
      <w:r w:rsidR="006A7671" w:rsidRPr="00275D24">
        <w:rPr>
          <w:b/>
          <w:sz w:val="24"/>
          <w:szCs w:val="24"/>
          <w:lang w:val="ru-RU"/>
        </w:rPr>
        <w:t>кошти</w:t>
      </w:r>
      <w:proofErr w:type="spellEnd"/>
    </w:p>
    <w:p w:rsidR="006A7671" w:rsidRPr="00275D24" w:rsidRDefault="006A7671" w:rsidP="00275D24">
      <w:pPr>
        <w:pStyle w:val="3"/>
        <w:spacing w:after="0"/>
        <w:ind w:left="0" w:firstLine="567"/>
        <w:jc w:val="both"/>
        <w:rPr>
          <w:sz w:val="24"/>
          <w:szCs w:val="24"/>
          <w:lang w:val="ru-RU"/>
        </w:rPr>
      </w:pPr>
    </w:p>
    <w:p w:rsidR="00A358A7" w:rsidRPr="00275D24" w:rsidRDefault="006A7671" w:rsidP="00275D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358A7" w:rsidRPr="00275D24">
        <w:rPr>
          <w:rFonts w:ascii="Times New Roman" w:hAnsi="Times New Roman" w:cs="Times New Roman"/>
          <w:sz w:val="24"/>
          <w:szCs w:val="24"/>
          <w:lang w:val="uk-UA"/>
        </w:rPr>
        <w:t>ошт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>и,</w:t>
      </w:r>
      <w:r w:rsidR="00A358A7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передбачені в міському бюджеті на виконання виборчих програм і доручень виборців у 2016 році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мали наступні цільові призначення: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4"/>
        <w:gridCol w:w="2268"/>
        <w:gridCol w:w="5528"/>
        <w:gridCol w:w="1276"/>
      </w:tblGrid>
      <w:tr w:rsidR="00143E73" w:rsidTr="003F5CC1">
        <w:tc>
          <w:tcPr>
            <w:tcW w:w="534" w:type="dxa"/>
            <w:vAlign w:val="center"/>
          </w:tcPr>
          <w:p w:rsidR="00143E73" w:rsidRPr="00E14C1A" w:rsidRDefault="008D5EBB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268" w:type="dxa"/>
            <w:vAlign w:val="center"/>
          </w:tcPr>
          <w:p w:rsidR="00143E73" w:rsidRPr="00E14C1A" w:rsidRDefault="00143E73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Соціальна сфера</w:t>
            </w:r>
          </w:p>
        </w:tc>
        <w:tc>
          <w:tcPr>
            <w:tcW w:w="5528" w:type="dxa"/>
            <w:vAlign w:val="center"/>
          </w:tcPr>
          <w:p w:rsidR="00143E73" w:rsidRPr="00E14C1A" w:rsidRDefault="008D5EBB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E14C1A">
              <w:rPr>
                <w:rFonts w:ascii="Times New Roman" w:hAnsi="Times New Roman" w:cs="Times New Roman"/>
                <w:b/>
                <w:lang w:val="uk-UA"/>
              </w:rPr>
              <w:t>Цільове призначення</w:t>
            </w:r>
          </w:p>
        </w:tc>
        <w:tc>
          <w:tcPr>
            <w:tcW w:w="1276" w:type="dxa"/>
            <w:vAlign w:val="center"/>
          </w:tcPr>
          <w:p w:rsidR="00143E73" w:rsidRPr="00E14C1A" w:rsidRDefault="008D5EBB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Сума коштів, грн.</w:t>
            </w:r>
          </w:p>
        </w:tc>
      </w:tr>
      <w:tr w:rsidR="008D5EBB" w:rsidTr="003F5CC1">
        <w:tc>
          <w:tcPr>
            <w:tcW w:w="534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6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552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вікон для ССШ № 30</w:t>
            </w:r>
          </w:p>
        </w:tc>
        <w:tc>
          <w:tcPr>
            <w:tcW w:w="1276" w:type="dxa"/>
          </w:tcPr>
          <w:p w:rsidR="008D5EBB" w:rsidRDefault="008D5EBB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26000</w:t>
            </w:r>
          </w:p>
        </w:tc>
      </w:tr>
      <w:tr w:rsidR="008D5EBB" w:rsidTr="003F5CC1">
        <w:tc>
          <w:tcPr>
            <w:tcW w:w="534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6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552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Придбання спортивного спорядження для клубу туристів та альпіністів Палацу дітей та юнацтва </w:t>
            </w:r>
          </w:p>
        </w:tc>
        <w:tc>
          <w:tcPr>
            <w:tcW w:w="1276" w:type="dxa"/>
          </w:tcPr>
          <w:p w:rsidR="008D5EBB" w:rsidRDefault="008D5EBB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17000</w:t>
            </w:r>
          </w:p>
        </w:tc>
      </w:tr>
      <w:tr w:rsidR="008D5EBB" w:rsidTr="003F5CC1">
        <w:tc>
          <w:tcPr>
            <w:tcW w:w="534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6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Культура</w:t>
            </w:r>
          </w:p>
        </w:tc>
        <w:tc>
          <w:tcPr>
            <w:tcW w:w="552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книг для бібліотеки-філії № 17</w:t>
            </w:r>
          </w:p>
        </w:tc>
        <w:tc>
          <w:tcPr>
            <w:tcW w:w="1276" w:type="dxa"/>
          </w:tcPr>
          <w:p w:rsidR="008D5EBB" w:rsidRDefault="008D5EBB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</w:tr>
      <w:tr w:rsidR="008D5EBB" w:rsidTr="003F5CC1">
        <w:tc>
          <w:tcPr>
            <w:tcW w:w="534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26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Охорона здоров’я </w:t>
            </w:r>
          </w:p>
        </w:tc>
        <w:tc>
          <w:tcPr>
            <w:tcW w:w="552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медобладнання для дитячої лікарні Святої Зінаїди</w:t>
            </w:r>
          </w:p>
        </w:tc>
        <w:tc>
          <w:tcPr>
            <w:tcW w:w="1276" w:type="dxa"/>
          </w:tcPr>
          <w:p w:rsidR="008D5EBB" w:rsidRDefault="008D5EBB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</w:tr>
      <w:tr w:rsidR="008D5EBB" w:rsidTr="003F5CC1">
        <w:tc>
          <w:tcPr>
            <w:tcW w:w="534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6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Інфраструктура</w:t>
            </w:r>
          </w:p>
        </w:tc>
        <w:tc>
          <w:tcPr>
            <w:tcW w:w="552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Капремонт водостічних труб та ремонт інженерних мереж у будинках </w:t>
            </w:r>
          </w:p>
        </w:tc>
        <w:tc>
          <w:tcPr>
            <w:tcW w:w="1276" w:type="dxa"/>
          </w:tcPr>
          <w:p w:rsidR="008D5EBB" w:rsidRDefault="008D5EBB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</w:tr>
      <w:tr w:rsidR="008D5EBB" w:rsidTr="003F5CC1">
        <w:tc>
          <w:tcPr>
            <w:tcW w:w="534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26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Інфраструктура</w:t>
            </w:r>
          </w:p>
        </w:tc>
        <w:tc>
          <w:tcPr>
            <w:tcW w:w="552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Капремонт покрівлі у житлових будинках</w:t>
            </w:r>
          </w:p>
        </w:tc>
        <w:tc>
          <w:tcPr>
            <w:tcW w:w="1276" w:type="dxa"/>
          </w:tcPr>
          <w:p w:rsidR="008D5EBB" w:rsidRDefault="008D5EBB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80000</w:t>
            </w:r>
          </w:p>
        </w:tc>
      </w:tr>
      <w:tr w:rsidR="008D5EBB" w:rsidTr="003F5CC1">
        <w:tc>
          <w:tcPr>
            <w:tcW w:w="534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268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Соц.захист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  <w:tc>
          <w:tcPr>
            <w:tcW w:w="5528" w:type="dxa"/>
          </w:tcPr>
          <w:p w:rsidR="008D5EBB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Лікування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онкохворої</w:t>
            </w:r>
            <w:proofErr w:type="spellEnd"/>
          </w:p>
        </w:tc>
        <w:tc>
          <w:tcPr>
            <w:tcW w:w="1276" w:type="dxa"/>
          </w:tcPr>
          <w:p w:rsidR="008D5EBB" w:rsidRDefault="00E14C1A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</w:tr>
      <w:tr w:rsidR="008D5EBB" w:rsidTr="003F5CC1">
        <w:tc>
          <w:tcPr>
            <w:tcW w:w="534" w:type="dxa"/>
          </w:tcPr>
          <w:p w:rsidR="008D5EBB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268" w:type="dxa"/>
          </w:tcPr>
          <w:p w:rsidR="008D5EBB" w:rsidRDefault="00E14C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Соц.захист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  <w:tc>
          <w:tcPr>
            <w:tcW w:w="5528" w:type="dxa"/>
          </w:tcPr>
          <w:p w:rsidR="008D5EBB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Протезування серцевого клапану хворому</w:t>
            </w:r>
          </w:p>
        </w:tc>
        <w:tc>
          <w:tcPr>
            <w:tcW w:w="1276" w:type="dxa"/>
          </w:tcPr>
          <w:p w:rsidR="008D5EBB" w:rsidRDefault="00E14C1A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</w:tr>
      <w:tr w:rsidR="008D5EBB" w:rsidTr="003F5CC1">
        <w:tc>
          <w:tcPr>
            <w:tcW w:w="534" w:type="dxa"/>
          </w:tcPr>
          <w:p w:rsidR="008D5EBB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268" w:type="dxa"/>
          </w:tcPr>
          <w:p w:rsidR="008D5EBB" w:rsidRDefault="00E14C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Соц.захист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  <w:tc>
          <w:tcPr>
            <w:tcW w:w="5528" w:type="dxa"/>
          </w:tcPr>
          <w:p w:rsidR="008D5EBB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Лікування хворого</w:t>
            </w:r>
          </w:p>
        </w:tc>
        <w:tc>
          <w:tcPr>
            <w:tcW w:w="1276" w:type="dxa"/>
          </w:tcPr>
          <w:p w:rsidR="008D5EBB" w:rsidRDefault="00E14C1A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8D5EBB" w:rsidTr="003F5CC1">
        <w:tc>
          <w:tcPr>
            <w:tcW w:w="534" w:type="dxa"/>
          </w:tcPr>
          <w:p w:rsidR="008D5EBB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268" w:type="dxa"/>
          </w:tcPr>
          <w:p w:rsidR="008D5EBB" w:rsidRDefault="00E14C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Соц.захист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  <w:tc>
          <w:tcPr>
            <w:tcW w:w="5528" w:type="dxa"/>
          </w:tcPr>
          <w:p w:rsidR="008D5EBB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Лікування хворого</w:t>
            </w:r>
          </w:p>
        </w:tc>
        <w:tc>
          <w:tcPr>
            <w:tcW w:w="1276" w:type="dxa"/>
          </w:tcPr>
          <w:p w:rsidR="008D5EBB" w:rsidRDefault="00E14C1A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E14C1A" w:rsidTr="003F5CC1">
        <w:tc>
          <w:tcPr>
            <w:tcW w:w="534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268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Соц.захист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  <w:tc>
          <w:tcPr>
            <w:tcW w:w="5528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Лікування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ортезування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кінцівок дитини учасника АТО</w:t>
            </w:r>
          </w:p>
        </w:tc>
        <w:tc>
          <w:tcPr>
            <w:tcW w:w="1276" w:type="dxa"/>
          </w:tcPr>
          <w:p w:rsidR="00E14C1A" w:rsidRDefault="00E14C1A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12000</w:t>
            </w:r>
          </w:p>
        </w:tc>
      </w:tr>
      <w:tr w:rsidR="00E14C1A" w:rsidTr="003F5CC1">
        <w:tc>
          <w:tcPr>
            <w:tcW w:w="534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268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Соц.захист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  <w:tc>
          <w:tcPr>
            <w:tcW w:w="5528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Лікування хворого</w:t>
            </w:r>
          </w:p>
        </w:tc>
        <w:tc>
          <w:tcPr>
            <w:tcW w:w="1276" w:type="dxa"/>
          </w:tcPr>
          <w:p w:rsidR="00E14C1A" w:rsidRDefault="00E14C1A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10000</w:t>
            </w:r>
          </w:p>
        </w:tc>
      </w:tr>
      <w:tr w:rsidR="00E14C1A" w:rsidTr="003F5CC1">
        <w:tc>
          <w:tcPr>
            <w:tcW w:w="534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268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Соц.захист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  <w:tc>
          <w:tcPr>
            <w:tcW w:w="5528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Оздоровлення дітей загиблих учасників АТО</w:t>
            </w:r>
          </w:p>
        </w:tc>
        <w:tc>
          <w:tcPr>
            <w:tcW w:w="1276" w:type="dxa"/>
          </w:tcPr>
          <w:p w:rsidR="00E14C1A" w:rsidRDefault="00E14C1A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</w:t>
            </w:r>
          </w:p>
        </w:tc>
      </w:tr>
      <w:tr w:rsidR="00E14C1A" w:rsidTr="003F5CC1">
        <w:tc>
          <w:tcPr>
            <w:tcW w:w="534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268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Соц.захист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  <w:tc>
          <w:tcPr>
            <w:tcW w:w="5528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енергозберігаючих ламп та перетяжка меблів відділення Злагода комунальної установи «Берегиня»</w:t>
            </w:r>
          </w:p>
        </w:tc>
        <w:tc>
          <w:tcPr>
            <w:tcW w:w="1276" w:type="dxa"/>
          </w:tcPr>
          <w:p w:rsidR="00E14C1A" w:rsidRDefault="00E14C1A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</w:tr>
      <w:tr w:rsidR="00E14C1A" w:rsidTr="003F5CC1">
        <w:tc>
          <w:tcPr>
            <w:tcW w:w="534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268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Соц.захист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  <w:tc>
          <w:tcPr>
            <w:tcW w:w="5528" w:type="dxa"/>
          </w:tcPr>
          <w:p w:rsidR="00E14C1A" w:rsidRDefault="00E14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поточного ремонту приміщення Центру реінтеграції бездомних осіб</w:t>
            </w:r>
          </w:p>
        </w:tc>
        <w:tc>
          <w:tcPr>
            <w:tcW w:w="1276" w:type="dxa"/>
          </w:tcPr>
          <w:p w:rsidR="00E14C1A" w:rsidRDefault="00E14C1A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</w:tr>
      <w:tr w:rsidR="00E14C1A" w:rsidTr="003F5CC1">
        <w:tc>
          <w:tcPr>
            <w:tcW w:w="8330" w:type="dxa"/>
            <w:gridSpan w:val="3"/>
          </w:tcPr>
          <w:p w:rsidR="00E14C1A" w:rsidRPr="00E14C1A" w:rsidRDefault="00E14C1A" w:rsidP="00E14C1A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E14C1A" w:rsidRPr="00E14C1A" w:rsidRDefault="00E14C1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200000</w:t>
            </w:r>
          </w:p>
        </w:tc>
      </w:tr>
    </w:tbl>
    <w:p w:rsidR="00143E73" w:rsidRDefault="00143E73">
      <w:pPr>
        <w:rPr>
          <w:rFonts w:ascii="Times New Roman" w:hAnsi="Times New Roman" w:cs="Times New Roman"/>
          <w:lang w:val="uk-UA"/>
        </w:rPr>
      </w:pPr>
    </w:p>
    <w:p w:rsidR="00275D24" w:rsidRPr="0072407C" w:rsidRDefault="00275D24" w:rsidP="00275D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07C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275D24" w:rsidRPr="0072407C" w:rsidRDefault="00275D24" w:rsidP="007240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07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міської ради є членом </w:t>
      </w:r>
      <w:r w:rsidR="0072407C" w:rsidRPr="0072407C">
        <w:rPr>
          <w:rFonts w:ascii="Times New Roman" w:hAnsi="Times New Roman" w:cs="Times New Roman"/>
          <w:sz w:val="24"/>
          <w:szCs w:val="24"/>
          <w:lang w:val="uk-UA"/>
        </w:rPr>
        <w:t>тимчасової контрольної комісії з діяльності КП «</w:t>
      </w:r>
      <w:proofErr w:type="spellStart"/>
      <w:r w:rsidR="0072407C" w:rsidRPr="0072407C">
        <w:rPr>
          <w:rFonts w:ascii="Times New Roman" w:hAnsi="Times New Roman" w:cs="Times New Roman"/>
          <w:sz w:val="24"/>
          <w:szCs w:val="24"/>
          <w:lang w:val="uk-UA"/>
        </w:rPr>
        <w:t>Електроавтотранс</w:t>
      </w:r>
      <w:proofErr w:type="spellEnd"/>
      <w:r w:rsidR="0072407C" w:rsidRPr="0072407C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2407C" w:rsidRPr="0072407C" w:rsidRDefault="0072407C" w:rsidP="007240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07C">
        <w:rPr>
          <w:rFonts w:ascii="Times New Roman" w:hAnsi="Times New Roman" w:cs="Times New Roman"/>
          <w:sz w:val="24"/>
          <w:szCs w:val="24"/>
          <w:lang w:val="uk-UA"/>
        </w:rPr>
        <w:t>Розпорядженням міського голови мене включено до складу Координаційної ради з питань громадського (</w:t>
      </w:r>
      <w:proofErr w:type="spellStart"/>
      <w:r w:rsidRPr="0072407C">
        <w:rPr>
          <w:rFonts w:ascii="Times New Roman" w:hAnsi="Times New Roman" w:cs="Times New Roman"/>
          <w:sz w:val="24"/>
          <w:szCs w:val="24"/>
          <w:lang w:val="uk-UA"/>
        </w:rPr>
        <w:t>партиципаторного</w:t>
      </w:r>
      <w:proofErr w:type="spellEnd"/>
      <w:r w:rsidRPr="0072407C">
        <w:rPr>
          <w:rFonts w:ascii="Times New Roman" w:hAnsi="Times New Roman" w:cs="Times New Roman"/>
          <w:sz w:val="24"/>
          <w:szCs w:val="24"/>
          <w:lang w:val="uk-UA"/>
        </w:rPr>
        <w:t>) бюджету м. Суми.</w:t>
      </w:r>
    </w:p>
    <w:p w:rsidR="0072407C" w:rsidRDefault="0072407C" w:rsidP="00275D24">
      <w:pPr>
        <w:jc w:val="center"/>
        <w:rPr>
          <w:rFonts w:ascii="Times New Roman" w:hAnsi="Times New Roman" w:cs="Times New Roman"/>
          <w:lang w:val="uk-UA"/>
        </w:rPr>
      </w:pPr>
    </w:p>
    <w:p w:rsidR="00D1723A" w:rsidRDefault="00D1723A" w:rsidP="00275D24">
      <w:pPr>
        <w:jc w:val="center"/>
        <w:rPr>
          <w:rFonts w:ascii="Times New Roman" w:hAnsi="Times New Roman" w:cs="Times New Roman"/>
          <w:lang w:val="uk-UA"/>
        </w:rPr>
      </w:pPr>
    </w:p>
    <w:p w:rsidR="00D1723A" w:rsidRDefault="00D1723A" w:rsidP="00275D24">
      <w:pPr>
        <w:jc w:val="center"/>
        <w:rPr>
          <w:rFonts w:ascii="Times New Roman" w:hAnsi="Times New Roman" w:cs="Times New Roman"/>
          <w:lang w:val="uk-UA"/>
        </w:rPr>
      </w:pPr>
    </w:p>
    <w:p w:rsidR="00D1723A" w:rsidRDefault="00D1723A" w:rsidP="00275D24">
      <w:pPr>
        <w:jc w:val="center"/>
        <w:rPr>
          <w:rFonts w:ascii="Times New Roman" w:hAnsi="Times New Roman" w:cs="Times New Roman"/>
          <w:lang w:val="uk-UA"/>
        </w:rPr>
      </w:pPr>
    </w:p>
    <w:p w:rsidR="0072407C" w:rsidRPr="00D1723A" w:rsidRDefault="00D1723A" w:rsidP="00D1723A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lang w:val="uk-UA"/>
        </w:rPr>
        <w:t>Чепік</w:t>
      </w:r>
      <w:proofErr w:type="spellEnd"/>
    </w:p>
    <w:sectPr w:rsidR="0072407C" w:rsidRPr="00D1723A" w:rsidSect="00F3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FB"/>
    <w:rsid w:val="000412A6"/>
    <w:rsid w:val="00060E0D"/>
    <w:rsid w:val="00101602"/>
    <w:rsid w:val="00143E73"/>
    <w:rsid w:val="00275D24"/>
    <w:rsid w:val="00287A6D"/>
    <w:rsid w:val="00343795"/>
    <w:rsid w:val="0037264B"/>
    <w:rsid w:val="003A2CC9"/>
    <w:rsid w:val="003F5CC1"/>
    <w:rsid w:val="00496014"/>
    <w:rsid w:val="004E4EEC"/>
    <w:rsid w:val="005D3DE9"/>
    <w:rsid w:val="006A7671"/>
    <w:rsid w:val="0072407C"/>
    <w:rsid w:val="007866A7"/>
    <w:rsid w:val="007D006D"/>
    <w:rsid w:val="00850928"/>
    <w:rsid w:val="008D5EBB"/>
    <w:rsid w:val="00A17C1A"/>
    <w:rsid w:val="00A358A7"/>
    <w:rsid w:val="00B8363D"/>
    <w:rsid w:val="00C1379D"/>
    <w:rsid w:val="00C303FB"/>
    <w:rsid w:val="00C52E8D"/>
    <w:rsid w:val="00C92B39"/>
    <w:rsid w:val="00CB3978"/>
    <w:rsid w:val="00D1723A"/>
    <w:rsid w:val="00D26FFF"/>
    <w:rsid w:val="00D434E9"/>
    <w:rsid w:val="00DE61B9"/>
    <w:rsid w:val="00E14C1A"/>
    <w:rsid w:val="00F31154"/>
    <w:rsid w:val="00F36DCA"/>
    <w:rsid w:val="00FC4234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DC65"/>
  <w15:docId w15:val="{95FA7087-C115-4178-A69B-BAE06D0F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CA"/>
  </w:style>
  <w:style w:type="paragraph" w:styleId="1">
    <w:name w:val="heading 1"/>
    <w:basedOn w:val="a"/>
    <w:link w:val="10"/>
    <w:uiPriority w:val="9"/>
    <w:qFormat/>
    <w:rsid w:val="0014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B9"/>
    <w:pPr>
      <w:ind w:left="720"/>
      <w:contextualSpacing/>
    </w:pPr>
  </w:style>
  <w:style w:type="paragraph" w:styleId="a4">
    <w:name w:val="No Spacing"/>
    <w:uiPriority w:val="1"/>
    <w:qFormat/>
    <w:rsid w:val="008509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850928"/>
  </w:style>
  <w:style w:type="character" w:customStyle="1" w:styleId="410">
    <w:name w:val="Основной текст (4) + 10"/>
    <w:aliases w:val="5 pt4"/>
    <w:basedOn w:val="a0"/>
    <w:rsid w:val="00850928"/>
    <w:rPr>
      <w:rFonts w:ascii="Times New Roman" w:hAnsi="Times New Roman" w:cs="Times New Roman" w:hint="default"/>
      <w:sz w:val="21"/>
      <w:szCs w:val="21"/>
      <w:lang w:bidi="ar-SA"/>
    </w:rPr>
  </w:style>
  <w:style w:type="paragraph" w:styleId="3">
    <w:name w:val="Body Text Indent 3"/>
    <w:basedOn w:val="a"/>
    <w:link w:val="30"/>
    <w:semiHidden/>
    <w:unhideWhenUsed/>
    <w:rsid w:val="00CB39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CB3978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43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14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19068-49F0-4E58-B236-8F37EF15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Конікова Світлана Анатоліївна</cp:lastModifiedBy>
  <cp:revision>16</cp:revision>
  <dcterms:created xsi:type="dcterms:W3CDTF">2017-02-14T13:03:00Z</dcterms:created>
  <dcterms:modified xsi:type="dcterms:W3CDTF">2017-02-17T07:14:00Z</dcterms:modified>
</cp:coreProperties>
</file>