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2B" w:rsidRPr="00B52A96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ЗВІТ</w:t>
      </w:r>
    </w:p>
    <w:p w:rsidR="00F34C2B" w:rsidRPr="00B52A96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про діяльність депутата Сумської міської ради VІІ скликання</w:t>
      </w:r>
    </w:p>
    <w:p w:rsidR="00F34C2B" w:rsidRPr="00B52A96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 w:eastAsia="ru-RU"/>
        </w:rPr>
      </w:pPr>
      <w:proofErr w:type="spellStart"/>
      <w:r w:rsidRPr="00B52A96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 w:eastAsia="ru-RU"/>
        </w:rPr>
        <w:t>Бурбики</w:t>
      </w:r>
      <w:proofErr w:type="spellEnd"/>
      <w:r w:rsidRPr="00B52A96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 w:eastAsia="ru-RU"/>
        </w:rPr>
        <w:t xml:space="preserve"> Віталія Олександровича</w:t>
      </w:r>
    </w:p>
    <w:p w:rsidR="00F34C2B" w:rsidRPr="00B52A96" w:rsidRDefault="00F34C2B" w:rsidP="00F34C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 виборчому окрузі №5</w:t>
      </w:r>
    </w:p>
    <w:p w:rsidR="00602BB3" w:rsidRDefault="00D3226B" w:rsidP="00B52A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uk-UA" w:eastAsia="ru-RU"/>
        </w:rPr>
        <w:drawing>
          <wp:inline distT="0" distB="0" distL="0" distR="0">
            <wp:extent cx="3526594" cy="600075"/>
            <wp:effectExtent l="0" t="0" r="0" b="0"/>
            <wp:docPr id="2" name="Рисунок 2" descr="C:\Users\Admin\Desktop\Запити\ВО_«Батьківщина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пити\ВО_«Батьківщина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64" cy="6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bookmarkStart w:id="0" w:name="_GoBack"/>
      <w:bookmarkEnd w:id="0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 метою інформування виборців про свою діяльність, отримання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зворотньої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інформації, залучення громадян до розв’язання  проблем місцевого значення та відповідно до ст.10 Закону України  ”Про Статус депутатів місцевих рад”,  подаю звіт про свою депутатську роботу за 2016 рік.   </w:t>
      </w:r>
    </w:p>
    <w:p w:rsidR="00F34C2B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 мною, як за депутатом Сумської міської ради VІІ скликання, закріплено територіальний виборчий округ № 5 в м. Суми, до якого відносяться наступні адреси: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Горького: 15, 17, 19;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Комунарів,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Нижньохолодногірська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10;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15, 21–25;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вул. Рози Люксембург,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Холодногірська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30 к.1, 33 к.1–39, 42–45;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пров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Білоусівський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пров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Комунарів,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проїзд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Білоусівський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Металургів: 7;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Праці: 1–28, 31, 37–39;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19, 31–31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Холодногірська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: 41, 49–111, 141–153;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пров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Подольний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Горького: 45, 49;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Жукова: 1;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Металургів: 4, 14–16, 24, 30, 32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к.Б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–32А;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 Реміснича: 6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10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к.А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12/2; </w:t>
      </w:r>
    </w:p>
    <w:p w:rsidR="00602BB3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вул.1-ша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Новопоселенська</w:t>
      </w:r>
      <w:proofErr w:type="spellEnd"/>
    </w:p>
    <w:p w:rsidR="001F7797" w:rsidRPr="00B52A96" w:rsidRDefault="00602BB3" w:rsidP="00602BB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У своїй діяльності керувався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Сумської міської ради та іншими нормативно-правовими актами.</w:t>
      </w:r>
      <w:r w:rsidR="001F7797"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Є членом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6C065A" w:rsidRDefault="006C065A" w:rsidP="00D3226B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</w:p>
    <w:p w:rsidR="001F7797" w:rsidRPr="00B52A96" w:rsidRDefault="00051F33" w:rsidP="00D3226B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ДІЯЛЬНІСТЬ ДЕПУТАТА: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1869"/>
      </w:tblGrid>
      <w:tr w:rsidR="00051F33" w:rsidRPr="00B52A96" w:rsidTr="00051F33">
        <w:trPr>
          <w:trHeight w:val="1854"/>
          <w:jc w:val="center"/>
        </w:trPr>
        <w:tc>
          <w:tcPr>
            <w:tcW w:w="2683" w:type="dxa"/>
          </w:tcPr>
          <w:p w:rsidR="001F7797" w:rsidRPr="00B52A96" w:rsidRDefault="001F7797" w:rsidP="00051F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 xml:space="preserve">16 </w:t>
            </w:r>
            <w:r w:rsidR="00051F33"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 xml:space="preserve">депутатських </w:t>
            </w:r>
            <w:r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>запитів подано на розгляд</w:t>
            </w:r>
            <w:r w:rsidR="00051F33"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 xml:space="preserve"> СМР</w:t>
            </w:r>
          </w:p>
        </w:tc>
        <w:tc>
          <w:tcPr>
            <w:tcW w:w="2683" w:type="dxa"/>
          </w:tcPr>
          <w:p w:rsidR="001F7797" w:rsidRPr="00B52A96" w:rsidRDefault="001F7797" w:rsidP="00051F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>23 звернення розглянуто та надана відповідь</w:t>
            </w:r>
          </w:p>
        </w:tc>
        <w:tc>
          <w:tcPr>
            <w:tcW w:w="2683" w:type="dxa"/>
          </w:tcPr>
          <w:p w:rsidR="001F7797" w:rsidRPr="00B52A96" w:rsidRDefault="00051F33" w:rsidP="00051F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ru-RU"/>
              </w:rPr>
              <w:t>З 14 скликаних засідань сесій СМР був присутній на 14</w:t>
            </w:r>
          </w:p>
        </w:tc>
        <w:tc>
          <w:tcPr>
            <w:tcW w:w="1869" w:type="dxa"/>
          </w:tcPr>
          <w:p w:rsidR="001F7797" w:rsidRPr="00B52A96" w:rsidRDefault="00051F33" w:rsidP="00051F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ru-RU"/>
              </w:rPr>
              <w:t>З 27 проведених засідань постійної комісії прийняв участь у 25</w:t>
            </w:r>
          </w:p>
        </w:tc>
      </w:tr>
    </w:tbl>
    <w:p w:rsidR="001F7797" w:rsidRPr="00B52A96" w:rsidRDefault="001F7797" w:rsidP="005F752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Запити: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Коригування транспортної схеми з урахуванням потреб жителів Фрунзенського району;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Створення скверу «Бузковий парк» та присвоєння йому статусу рекреаційної зони;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Освітлення вул. Комунарів 18-А;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Питання ремонту бойлеру в гуртожитку по вул. Праці;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Щодо приведення до належного стану майданчиків для збору твердопаливних відходів у відповідності з діючими нормами;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Вжиття заходів щодо розкрадання майна ПАТ «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Центроліт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»;</w:t>
      </w:r>
    </w:p>
    <w:p w:rsidR="001F7797" w:rsidRPr="00B52A96" w:rsidRDefault="001F7797" w:rsidP="001F779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Щодо необхідності будівництва мосту з вул.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Нижньохолодногірська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 вул. Лугова;</w:t>
      </w:r>
    </w:p>
    <w:p w:rsidR="005F752D" w:rsidRPr="00B52A96" w:rsidRDefault="001F7797" w:rsidP="005F752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Встановлення дорожніх знаків та оновлення дорожньої розмітки по вул. </w:t>
      </w:r>
      <w:proofErr w:type="spellStart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Нижнохолодногірська</w:t>
      </w:r>
      <w:proofErr w:type="spellEnd"/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CC6B69" w:rsidRPr="00B52A96" w:rsidRDefault="00CC6B69" w:rsidP="005F752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Закінчення ремонту дороги по вул. Труда.</w:t>
      </w:r>
    </w:p>
    <w:p w:rsidR="00745E42" w:rsidRPr="00B52A96" w:rsidRDefault="00745E42" w:rsidP="00CC6B69">
      <w:pPr>
        <w:widowControl w:val="0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745E42" w:rsidRPr="00B52A96" w:rsidRDefault="00745E42" w:rsidP="00CC6B69">
      <w:pPr>
        <w:widowControl w:val="0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5F752D" w:rsidRPr="00B52A96" w:rsidRDefault="00CC6B69" w:rsidP="00CC6B69">
      <w:pPr>
        <w:widowControl w:val="0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 w:rsidRPr="00B52A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КУДИ БУЛИ ВИТРАЧЕНІ ДЕПУТАТСЬКІ КОШТИ</w:t>
      </w:r>
      <w:r w:rsidR="005F752D" w:rsidRPr="00B52A9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:</w:t>
      </w:r>
    </w:p>
    <w:p w:rsidR="00CC6B69" w:rsidRPr="00B52A96" w:rsidRDefault="00CC6B69" w:rsidP="00CC6B69">
      <w:pPr>
        <w:widowControl w:val="0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tbl>
      <w:tblPr>
        <w:tblStyle w:val="a3"/>
        <w:tblW w:w="9942" w:type="dxa"/>
        <w:tblInd w:w="-572" w:type="dxa"/>
        <w:tblLook w:val="04A0" w:firstRow="1" w:lastRow="0" w:firstColumn="1" w:lastColumn="0" w:noHBand="0" w:noVBand="1"/>
      </w:tblPr>
      <w:tblGrid>
        <w:gridCol w:w="1787"/>
        <w:gridCol w:w="1121"/>
        <w:gridCol w:w="7034"/>
      </w:tblGrid>
      <w:tr w:rsidR="005F752D" w:rsidRPr="00B52A96" w:rsidTr="00B52A96">
        <w:trPr>
          <w:trHeight w:val="20"/>
        </w:trPr>
        <w:tc>
          <w:tcPr>
            <w:tcW w:w="1787" w:type="dxa"/>
            <w:hideMark/>
          </w:tcPr>
          <w:p w:rsidR="005F752D" w:rsidRPr="00B52A96" w:rsidRDefault="005F752D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Всього передбачено</w:t>
            </w:r>
          </w:p>
        </w:tc>
        <w:tc>
          <w:tcPr>
            <w:tcW w:w="1121" w:type="dxa"/>
            <w:hideMark/>
          </w:tcPr>
          <w:p w:rsidR="005F752D" w:rsidRPr="00B52A96" w:rsidRDefault="005F752D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Сума коштів</w:t>
            </w:r>
          </w:p>
        </w:tc>
        <w:tc>
          <w:tcPr>
            <w:tcW w:w="7034" w:type="dxa"/>
            <w:hideMark/>
          </w:tcPr>
          <w:p w:rsidR="005F752D" w:rsidRPr="00B52A96" w:rsidRDefault="005F752D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Напрямок використання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 w:val="restart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Участь у змаганнях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Придбання спортивної форми ДЮШС "Спартаківець"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навчаль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но-тренувальних зборів ДЮШС ім. </w:t>
            </w:r>
            <w:proofErr w:type="spellStart"/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Голубничого</w:t>
            </w:r>
            <w:proofErr w:type="spellEnd"/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Придбання вікон для </w:t>
            </w:r>
            <w:r w:rsidRPr="00B52A96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Сумський міський Центр науково-технічної творчості молоді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53 000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Поточний ремонт приміщень КЗ центр первинної допомоги №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15 000</w:t>
            </w:r>
          </w:p>
        </w:tc>
        <w:tc>
          <w:tcPr>
            <w:tcW w:w="7034" w:type="dxa"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лікува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ня Сердюку П.В.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  <w:hideMark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  <w:hideMark/>
          </w:tcPr>
          <w:p w:rsidR="00051F33" w:rsidRPr="00B52A96" w:rsidRDefault="00051F33" w:rsidP="00B5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67000</w:t>
            </w:r>
          </w:p>
        </w:tc>
        <w:tc>
          <w:tcPr>
            <w:tcW w:w="7034" w:type="dxa"/>
            <w:hideMark/>
          </w:tcPr>
          <w:p w:rsid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Придбання нетбуків 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50 000 грн. для НВК-ДНЗ №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9;  </w:t>
            </w:r>
          </w:p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Придбання муль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медійного проектора -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11 000 грн., екрану - 6 000 грн., капремонт харчоблоку - 33 000 грн. для ДНЗ №</w:t>
            </w:r>
            <w:r w:rsid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52A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051F33" w:rsidRPr="00B52A96" w:rsidTr="00B52A96">
        <w:trPr>
          <w:trHeight w:val="20"/>
        </w:trPr>
        <w:tc>
          <w:tcPr>
            <w:tcW w:w="1787" w:type="dxa"/>
            <w:vMerge/>
          </w:tcPr>
          <w:p w:rsidR="00051F33" w:rsidRPr="00B52A96" w:rsidRDefault="00051F33" w:rsidP="00B52A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1" w:type="dxa"/>
            <w:noWrap/>
          </w:tcPr>
          <w:p w:rsidR="00051F33" w:rsidRPr="00B52A96" w:rsidRDefault="00051F33" w:rsidP="00B52A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33000</w:t>
            </w:r>
          </w:p>
        </w:tc>
        <w:tc>
          <w:tcPr>
            <w:tcW w:w="7034" w:type="dxa"/>
          </w:tcPr>
          <w:p w:rsidR="00051F33" w:rsidRPr="00B52A96" w:rsidRDefault="00051F33" w:rsidP="00B52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капремонт харчоблоку </w:t>
            </w:r>
            <w:r w:rsid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33 000 грн. для ДНЗ №</w:t>
            </w:r>
            <w:r w:rsid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52A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</w:tbl>
    <w:p w:rsidR="001F7797" w:rsidRPr="00B52A96" w:rsidRDefault="001F7797" w:rsidP="001F779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F752D" w:rsidRPr="00B52A96" w:rsidRDefault="005F752D" w:rsidP="005F75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B52A9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Прийом громадян: </w:t>
      </w:r>
    </w:p>
    <w:p w:rsidR="005F752D" w:rsidRPr="00B52A96" w:rsidRDefault="005F752D" w:rsidP="005F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щомісяця (2-й Четвер)  з 17:00 по 19:00  у приміщенні </w:t>
      </w:r>
      <w:r w:rsidR="00B52A96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Бібліотечна філія № </w:t>
      </w:r>
      <w:r w:rsidRPr="00B52A96">
        <w:rPr>
          <w:rFonts w:ascii="Times New Roman" w:eastAsia="Times New Roman" w:hAnsi="Times New Roman" w:cs="Times New Roman"/>
          <w:sz w:val="28"/>
          <w:szCs w:val="28"/>
          <w:lang w:val="uk-UA"/>
        </w:rPr>
        <w:t>17, вул. Горького, 23/1.</w:t>
      </w:r>
    </w:p>
    <w:p w:rsidR="00602BB3" w:rsidRPr="00B52A96" w:rsidRDefault="00D3226B" w:rsidP="00D3226B">
      <w:pPr>
        <w:widowControl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52A9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uk-UA" w:eastAsia="ru-RU"/>
        </w:rPr>
        <w:drawing>
          <wp:inline distT="0" distB="0" distL="0" distR="0">
            <wp:extent cx="1285875" cy="1285875"/>
            <wp:effectExtent l="0" t="0" r="9525" b="952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BB3" w:rsidRPr="00B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01D"/>
    <w:multiLevelType w:val="hybridMultilevel"/>
    <w:tmpl w:val="72DE0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B"/>
    <w:rsid w:val="00051F33"/>
    <w:rsid w:val="001F7797"/>
    <w:rsid w:val="004A37DC"/>
    <w:rsid w:val="005F752D"/>
    <w:rsid w:val="00602BB3"/>
    <w:rsid w:val="006C065A"/>
    <w:rsid w:val="00745E42"/>
    <w:rsid w:val="0081642C"/>
    <w:rsid w:val="00B04F73"/>
    <w:rsid w:val="00B52A96"/>
    <w:rsid w:val="00CC6B69"/>
    <w:rsid w:val="00CE2D90"/>
    <w:rsid w:val="00D3226B"/>
    <w:rsid w:val="00F17A8C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51BA"/>
  <w15:chartTrackingRefBased/>
  <w15:docId w15:val="{4D3CC2AB-5607-4B7B-B784-218ECC9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79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7</cp:revision>
  <dcterms:created xsi:type="dcterms:W3CDTF">2017-04-09T11:58:00Z</dcterms:created>
  <dcterms:modified xsi:type="dcterms:W3CDTF">2017-05-23T10:31:00Z</dcterms:modified>
</cp:coreProperties>
</file>