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06" w:type="dxa"/>
        <w:tblBorders>
          <w:bottom w:val="single" w:sz="24" w:space="0" w:color="A6A6A6"/>
        </w:tblBorders>
        <w:tblLook w:val="00A0" w:firstRow="1" w:lastRow="0" w:firstColumn="1" w:lastColumn="0" w:noHBand="0" w:noVBand="0"/>
      </w:tblPr>
      <w:tblGrid>
        <w:gridCol w:w="9917"/>
        <w:gridCol w:w="573"/>
      </w:tblGrid>
      <w:tr w:rsidR="00E74F55" w:rsidTr="00E74F55">
        <w:trPr>
          <w:trHeight w:val="862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4F55" w:rsidRDefault="00E74F55">
            <w:pPr>
              <w:spacing w:before="120" w:after="120" w:line="256" w:lineRule="auto"/>
              <w:jc w:val="center"/>
              <w:rPr>
                <w:b/>
                <w:bCs/>
                <w:color w:val="969696"/>
                <w:sz w:val="40"/>
                <w:szCs w:val="4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286000" cy="352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E74F55" w:rsidRDefault="00E74F55">
            <w:pPr>
              <w:spacing w:before="120" w:after="120" w:line="256" w:lineRule="auto"/>
              <w:jc w:val="center"/>
              <w:rPr>
                <w:b/>
                <w:bCs/>
                <w:color w:val="969696"/>
                <w:sz w:val="40"/>
                <w:szCs w:val="40"/>
                <w:lang w:val="ru-RU" w:eastAsia="en-US"/>
              </w:rPr>
            </w:pPr>
          </w:p>
        </w:tc>
      </w:tr>
      <w:tr w:rsidR="00E74F55" w:rsidTr="00E74F55">
        <w:tc>
          <w:tcPr>
            <w:tcW w:w="4727" w:type="pct"/>
            <w:tcBorders>
              <w:top w:val="nil"/>
              <w:left w:val="nil"/>
              <w:bottom w:val="single" w:sz="24" w:space="0" w:color="A6A6A6"/>
              <w:right w:val="nil"/>
            </w:tcBorders>
          </w:tcPr>
          <w:p w:rsidR="00E74F55" w:rsidRDefault="00E74F55">
            <w:pPr>
              <w:spacing w:line="256" w:lineRule="auto"/>
              <w:jc w:val="center"/>
              <w:outlineLvl w:val="1"/>
              <w:rPr>
                <w:rFonts w:ascii="Myriad Pro" w:hAnsi="Myriad Pro" w:cs="Myriad Pro"/>
                <w:b/>
                <w:bCs/>
                <w:smallCaps/>
                <w:color w:val="003366"/>
                <w:lang w:val="ru-RU" w:eastAsia="uk-UA"/>
              </w:rPr>
            </w:pPr>
            <w:r>
              <w:rPr>
                <w:rFonts w:ascii="Myriad Pro Cyr" w:hAnsi="Myriad Pro Cyr" w:cs="Myriad Pro Cyr"/>
                <w:b/>
                <w:bCs/>
                <w:smallCaps/>
                <w:color w:val="003366"/>
                <w:lang w:val="ru-RU" w:eastAsia="uk-UA"/>
              </w:rPr>
              <w:t>ПРЕСС-РЕЛИЗ</w:t>
            </w:r>
          </w:p>
          <w:p w:rsidR="00E74F55" w:rsidRDefault="00E74F55">
            <w:pPr>
              <w:spacing w:line="256" w:lineRule="auto"/>
              <w:jc w:val="center"/>
              <w:outlineLvl w:val="1"/>
              <w:rPr>
                <w:b/>
                <w:bCs/>
                <w:smallCaps/>
                <w:color w:val="003366"/>
                <w:lang w:val="ru-RU" w:eastAsia="uk-UA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24" w:space="0" w:color="A6A6A6"/>
              <w:right w:val="nil"/>
            </w:tcBorders>
          </w:tcPr>
          <w:p w:rsidR="00E74F55" w:rsidRDefault="00E74F55">
            <w:pPr>
              <w:spacing w:line="256" w:lineRule="auto"/>
              <w:jc w:val="center"/>
              <w:rPr>
                <w:b/>
                <w:bCs/>
                <w:i/>
                <w:iCs/>
                <w:color w:val="003366"/>
                <w:sz w:val="20"/>
                <w:szCs w:val="20"/>
                <w:lang w:val="ru-RU" w:eastAsia="en-US"/>
              </w:rPr>
            </w:pPr>
          </w:p>
        </w:tc>
      </w:tr>
    </w:tbl>
    <w:p w:rsidR="00E74F55" w:rsidRDefault="00E74F55" w:rsidP="00E74F55">
      <w:pPr>
        <w:pStyle w:val="1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Arial" w:hAnsi="Arial" w:cs="Arial"/>
          <w:color w:val="104265"/>
          <w:spacing w:val="11"/>
          <w:sz w:val="19"/>
          <w:szCs w:val="19"/>
        </w:rPr>
      </w:pPr>
      <w:r>
        <w:rPr>
          <w:rFonts w:ascii="Arial" w:hAnsi="Arial" w:cs="Arial"/>
          <w:color w:val="104265"/>
          <w:spacing w:val="11"/>
          <w:sz w:val="19"/>
          <w:szCs w:val="19"/>
        </w:rPr>
        <w:t>IBI-</w:t>
      </w:r>
      <w:proofErr w:type="spellStart"/>
      <w:r>
        <w:rPr>
          <w:rFonts w:ascii="Arial" w:hAnsi="Arial" w:cs="Arial"/>
          <w:color w:val="104265"/>
          <w:spacing w:val="11"/>
          <w:sz w:val="19"/>
          <w:szCs w:val="19"/>
        </w:rPr>
        <w:t>Rating</w:t>
      </w:r>
      <w:proofErr w:type="spellEnd"/>
      <w:r>
        <w:rPr>
          <w:rFonts w:ascii="Arial" w:hAnsi="Arial" w:cs="Arial"/>
          <w:color w:val="104265"/>
          <w:spacing w:val="11"/>
          <w:sz w:val="19"/>
          <w:szCs w:val="19"/>
        </w:rPr>
        <w:t xml:space="preserve"> подтвердило кредитный рейтинг и рейтинг инвестиционной привлекательности города Сумы</w:t>
      </w:r>
    </w:p>
    <w:p w:rsidR="00E74F55" w:rsidRDefault="00E74F55" w:rsidP="00E74F55">
      <w:pPr>
        <w:shd w:val="clear" w:color="auto" w:fill="FFFFFF"/>
        <w:spacing w:after="120"/>
        <w:ind w:firstLine="426"/>
        <w:jc w:val="both"/>
        <w:textAlignment w:val="baseline"/>
        <w:outlineLvl w:val="0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Национальное рейтинговое агентство ІВІ-</w:t>
      </w:r>
      <w:proofErr w:type="spellStart"/>
      <w:r>
        <w:rPr>
          <w:rFonts w:ascii="Arial" w:hAnsi="Arial" w:cs="Arial"/>
          <w:sz w:val="19"/>
          <w:szCs w:val="19"/>
          <w:lang w:val="ru-RU"/>
        </w:rPr>
        <w:t>Rating</w:t>
      </w:r>
      <w:proofErr w:type="spellEnd"/>
      <w:r>
        <w:rPr>
          <w:rFonts w:ascii="Arial" w:hAnsi="Arial" w:cs="Arial"/>
          <w:sz w:val="19"/>
          <w:szCs w:val="19"/>
          <w:lang w:val="ru-RU"/>
        </w:rPr>
        <w:t xml:space="preserve"> сообщает о подтверждении кредитного рейтинга г. Сумы на уровне </w:t>
      </w:r>
      <w:proofErr w:type="spellStart"/>
      <w:r>
        <w:rPr>
          <w:rFonts w:ascii="Arial" w:hAnsi="Arial" w:cs="Arial"/>
          <w:b/>
          <w:bCs/>
          <w:sz w:val="19"/>
          <w:szCs w:val="19"/>
          <w:lang w:val="ru-RU"/>
        </w:rPr>
        <w:t>uaА</w:t>
      </w:r>
      <w:proofErr w:type="spellEnd"/>
      <w:r>
        <w:rPr>
          <w:rFonts w:ascii="Arial" w:hAnsi="Arial" w:cs="Arial"/>
          <w:b/>
          <w:bCs/>
          <w:sz w:val="19"/>
          <w:szCs w:val="19"/>
          <w:lang w:val="ru-RU"/>
        </w:rPr>
        <w:t>- </w:t>
      </w:r>
      <w:r>
        <w:rPr>
          <w:rFonts w:ascii="Arial" w:hAnsi="Arial" w:cs="Arial"/>
          <w:sz w:val="19"/>
          <w:szCs w:val="19"/>
          <w:lang w:val="ru-RU"/>
        </w:rPr>
        <w:t>с прогнозом </w:t>
      </w:r>
      <w:r>
        <w:rPr>
          <w:rFonts w:ascii="Arial" w:hAnsi="Arial" w:cs="Arial"/>
          <w:b/>
          <w:bCs/>
          <w:sz w:val="19"/>
          <w:szCs w:val="19"/>
          <w:lang w:val="ru-RU"/>
        </w:rPr>
        <w:t>«стабильный»</w:t>
      </w:r>
      <w:r>
        <w:rPr>
          <w:rFonts w:ascii="Arial" w:hAnsi="Arial" w:cs="Arial"/>
          <w:sz w:val="19"/>
          <w:szCs w:val="19"/>
          <w:lang w:val="ru-RU"/>
        </w:rPr>
        <w:t>, а также рейтинга инвестиционной привлекательности на уровне</w:t>
      </w:r>
      <w:r>
        <w:rPr>
          <w:rFonts w:ascii="Arial" w:hAnsi="Arial" w:cs="Arial"/>
          <w:b/>
          <w:bCs/>
          <w:sz w:val="19"/>
          <w:szCs w:val="19"/>
          <w:lang w:val="ru-RU"/>
        </w:rPr>
        <w:t> </w:t>
      </w:r>
      <w:proofErr w:type="spellStart"/>
      <w:r>
        <w:rPr>
          <w:rFonts w:ascii="Arial" w:hAnsi="Arial" w:cs="Arial"/>
          <w:b/>
          <w:bCs/>
          <w:sz w:val="19"/>
          <w:szCs w:val="19"/>
          <w:lang w:val="ru-RU"/>
        </w:rPr>
        <w:t>invА</w:t>
      </w:r>
      <w:proofErr w:type="spellEnd"/>
      <w:r>
        <w:rPr>
          <w:rFonts w:ascii="Arial" w:hAnsi="Arial" w:cs="Arial"/>
          <w:b/>
          <w:bCs/>
          <w:sz w:val="19"/>
          <w:szCs w:val="19"/>
          <w:lang w:val="ru-RU"/>
        </w:rPr>
        <w:t>-</w:t>
      </w:r>
      <w:r>
        <w:rPr>
          <w:rFonts w:ascii="Arial" w:hAnsi="Arial" w:cs="Arial"/>
          <w:sz w:val="19"/>
          <w:szCs w:val="19"/>
          <w:lang w:val="ru-RU"/>
        </w:rPr>
        <w:t>. </w:t>
      </w:r>
    </w:p>
    <w:p w:rsidR="00E74F55" w:rsidRDefault="00E74F55" w:rsidP="00E74F55">
      <w:pPr>
        <w:shd w:val="clear" w:color="auto" w:fill="FFFFFF"/>
        <w:spacing w:after="120"/>
        <w:ind w:firstLine="426"/>
        <w:jc w:val="both"/>
        <w:textAlignment w:val="baseline"/>
        <w:outlineLvl w:val="0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b/>
          <w:bCs/>
          <w:sz w:val="19"/>
          <w:szCs w:val="19"/>
          <w:lang w:val="ru-RU"/>
        </w:rPr>
        <w:t>Такие уровни рейтингов отображают</w:t>
      </w:r>
      <w:r>
        <w:rPr>
          <w:rFonts w:ascii="Arial" w:hAnsi="Arial" w:cs="Arial"/>
          <w:sz w:val="19"/>
          <w:szCs w:val="19"/>
          <w:lang w:val="ru-RU"/>
        </w:rPr>
        <w:t> высокую инвестиционную привлекательность и способность города рассчитываться по своим обязательствам. «Стабильный» прогноз, с наиболее высокой долей вероятности, предполагает неизменность рейтинга на горизонте 12 месяцев. </w:t>
      </w:r>
    </w:p>
    <w:p w:rsidR="00E74F55" w:rsidRDefault="00E74F55" w:rsidP="00E74F55">
      <w:pPr>
        <w:shd w:val="clear" w:color="auto" w:fill="FFFFFF"/>
        <w:spacing w:after="120"/>
        <w:ind w:firstLine="425"/>
        <w:jc w:val="both"/>
        <w:textAlignment w:val="baseline"/>
        <w:rPr>
          <w:rFonts w:ascii="Arial" w:hAnsi="Arial" w:cs="Arial"/>
          <w:b/>
          <w:bCs/>
          <w:sz w:val="19"/>
          <w:szCs w:val="19"/>
          <w:lang w:val="ru-RU"/>
        </w:rPr>
      </w:pPr>
      <w:r>
        <w:rPr>
          <w:rFonts w:ascii="Arial" w:hAnsi="Arial" w:cs="Arial"/>
          <w:b/>
          <w:bCs/>
          <w:sz w:val="19"/>
          <w:szCs w:val="19"/>
          <w:lang w:val="ru-RU"/>
        </w:rPr>
        <w:t>При обновлении рейтингов были учтены:</w:t>
      </w:r>
    </w:p>
    <w:p w:rsidR="00E74F55" w:rsidRDefault="00E74F55" w:rsidP="00E74F55">
      <w:pPr>
        <w:shd w:val="clear" w:color="auto" w:fill="FFFFFF"/>
        <w:spacing w:after="120"/>
        <w:ind w:firstLine="425"/>
        <w:jc w:val="both"/>
        <w:textAlignment w:val="baseline"/>
        <w:rPr>
          <w:rFonts w:ascii="Arial" w:hAnsi="Arial" w:cs="Arial"/>
          <w:color w:val="1F1F1F"/>
          <w:sz w:val="19"/>
          <w:szCs w:val="19"/>
          <w:u w:val="single"/>
          <w:bdr w:val="none" w:sz="0" w:space="0" w:color="auto" w:frame="1"/>
          <w:shd w:val="clear" w:color="auto" w:fill="FFFFFF"/>
          <w:lang w:val="ru-RU"/>
        </w:rPr>
      </w:pPr>
      <w:r>
        <w:rPr>
          <w:rFonts w:ascii="Arial" w:hAnsi="Arial" w:cs="Arial"/>
          <w:color w:val="1F1F1F"/>
          <w:sz w:val="19"/>
          <w:szCs w:val="19"/>
          <w:u w:val="single"/>
          <w:bdr w:val="none" w:sz="0" w:space="0" w:color="auto" w:frame="1"/>
          <w:shd w:val="clear" w:color="auto" w:fill="FFFFFF"/>
          <w:lang w:val="ru-RU"/>
        </w:rPr>
        <w:t>1. Структура экономического комплекса города и динамика ключевых показателей</w:t>
      </w:r>
    </w:p>
    <w:p w:rsidR="00E74F55" w:rsidRDefault="00E74F55" w:rsidP="00E74F55">
      <w:pPr>
        <w:shd w:val="clear" w:color="auto" w:fill="FFFFFF"/>
        <w:spacing w:after="120"/>
        <w:ind w:firstLine="425"/>
        <w:jc w:val="both"/>
        <w:textAlignment w:val="baseline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 xml:space="preserve">Сумы имеют достаточно мощный промышленный комплекс, что предоставляет дополнительные конкурентные преимущества по сравнению с другими городами Украины. В 2018 году наблюдался дальнейший рост ряда показателей социально-экономического развития: объем реализованной промышленной продукции вырос на 11,3% до 22,1 </w:t>
      </w:r>
      <w:r>
        <w:rPr>
          <w:rFonts w:ascii="Arial" w:hAnsi="Arial" w:cs="Arial"/>
          <w:sz w:val="19"/>
          <w:szCs w:val="19"/>
        </w:rPr>
        <w:t>млрд</w:t>
      </w:r>
      <w:r>
        <w:rPr>
          <w:rFonts w:ascii="Arial" w:hAnsi="Arial" w:cs="Arial"/>
          <w:sz w:val="19"/>
          <w:szCs w:val="19"/>
          <w:lang w:val="ru-RU"/>
        </w:rPr>
        <w:t xml:space="preserve"> грн., освоенных капитальных инвестиций - на 22,4% до 3,2 </w:t>
      </w:r>
      <w:r>
        <w:rPr>
          <w:rFonts w:ascii="Arial" w:hAnsi="Arial" w:cs="Arial"/>
          <w:sz w:val="19"/>
          <w:szCs w:val="19"/>
        </w:rPr>
        <w:t>млрд</w:t>
      </w:r>
      <w:r>
        <w:rPr>
          <w:rFonts w:ascii="Arial" w:hAnsi="Arial" w:cs="Arial"/>
          <w:sz w:val="19"/>
          <w:szCs w:val="19"/>
          <w:lang w:val="ru-RU"/>
        </w:rPr>
        <w:t xml:space="preserve"> грн., розничный товарооборот - на 19,7% до 6,4 </w:t>
      </w:r>
      <w:r>
        <w:rPr>
          <w:rFonts w:ascii="Arial" w:hAnsi="Arial" w:cs="Arial"/>
          <w:sz w:val="19"/>
          <w:szCs w:val="19"/>
        </w:rPr>
        <w:t>млрд</w:t>
      </w:r>
      <w:r>
        <w:rPr>
          <w:rFonts w:ascii="Arial" w:hAnsi="Arial" w:cs="Arial"/>
          <w:sz w:val="19"/>
          <w:szCs w:val="19"/>
          <w:lang w:val="ru-RU"/>
        </w:rPr>
        <w:t xml:space="preserve"> грн., объем выполненных строительных работ - на 25% до 1,2 </w:t>
      </w:r>
      <w:r>
        <w:rPr>
          <w:rFonts w:ascii="Arial" w:hAnsi="Arial" w:cs="Arial"/>
          <w:sz w:val="19"/>
          <w:szCs w:val="19"/>
        </w:rPr>
        <w:t>млрд</w:t>
      </w:r>
      <w:r>
        <w:rPr>
          <w:rFonts w:ascii="Arial" w:hAnsi="Arial" w:cs="Arial"/>
          <w:sz w:val="19"/>
          <w:szCs w:val="19"/>
          <w:lang w:val="ru-RU"/>
        </w:rPr>
        <w:t xml:space="preserve"> грн. За 2018 году в городе введено в эксплуатацию 65 тыс. м</w:t>
      </w:r>
      <w:r>
        <w:rPr>
          <w:rFonts w:ascii="Arial" w:hAnsi="Arial" w:cs="Arial"/>
          <w:sz w:val="19"/>
          <w:szCs w:val="19"/>
          <w:vertAlign w:val="superscript"/>
          <w:lang w:val="ru-RU"/>
        </w:rPr>
        <w:t>2</w:t>
      </w:r>
      <w:r>
        <w:rPr>
          <w:rFonts w:ascii="Arial" w:hAnsi="Arial" w:cs="Arial"/>
          <w:sz w:val="19"/>
          <w:szCs w:val="19"/>
          <w:lang w:val="ru-RU"/>
        </w:rPr>
        <w:t xml:space="preserve"> жилья, что в пересчете на 1 жителя на 14% превышает соответствующий показатель по Украине. В целом большинство показателей состояния экономики и хозяйственного комплекса города (в т. ч. в пересчете на душу населения) превышают или соответствуют средним по стране.</w:t>
      </w:r>
    </w:p>
    <w:p w:rsidR="00E74F55" w:rsidRDefault="00E74F55" w:rsidP="00E74F55">
      <w:pPr>
        <w:shd w:val="clear" w:color="auto" w:fill="FFFFFF"/>
        <w:spacing w:after="120"/>
        <w:ind w:firstLine="425"/>
        <w:jc w:val="both"/>
        <w:textAlignment w:val="baseline"/>
        <w:rPr>
          <w:rFonts w:ascii="Arial" w:hAnsi="Arial" w:cs="Arial"/>
          <w:sz w:val="19"/>
          <w:szCs w:val="19"/>
          <w:u w:val="single"/>
          <w:lang w:val="ru-RU"/>
        </w:rPr>
      </w:pPr>
      <w:r>
        <w:rPr>
          <w:rFonts w:ascii="Arial" w:hAnsi="Arial" w:cs="Arial"/>
          <w:sz w:val="19"/>
          <w:szCs w:val="19"/>
          <w:u w:val="single"/>
          <w:lang w:val="ru-RU"/>
        </w:rPr>
        <w:t>2. Конкурентные преимущества и недостатки по сравнению с другими городами страны</w:t>
      </w:r>
    </w:p>
    <w:p w:rsidR="00E74F55" w:rsidRDefault="00E74F55" w:rsidP="00E74F55">
      <w:pPr>
        <w:shd w:val="clear" w:color="auto" w:fill="FFFFFF"/>
        <w:spacing w:after="120"/>
        <w:ind w:firstLine="425"/>
        <w:jc w:val="both"/>
        <w:textAlignment w:val="baseline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В Сумах локализованы ключевые органы государственной власти региона. Кроме того, город имеет хорошую логистику, значительное количество учебных заведений (по разным профилям) и развитую обслуживающую, коммунальную и социальную инфраструктуру. При этом, конкуренция для бизнеса и стоимость трудовых ресурсов ниже, по сравнению со столицей.</w:t>
      </w:r>
    </w:p>
    <w:p w:rsidR="00E74F55" w:rsidRDefault="00E74F55" w:rsidP="00E74F55">
      <w:pPr>
        <w:shd w:val="clear" w:color="auto" w:fill="FFFFFF"/>
        <w:spacing w:after="120"/>
        <w:ind w:firstLine="425"/>
        <w:jc w:val="both"/>
        <w:textAlignment w:val="baseline"/>
        <w:rPr>
          <w:rFonts w:ascii="Arial" w:hAnsi="Arial" w:cs="Arial"/>
          <w:color w:val="1F1F1F"/>
          <w:sz w:val="19"/>
          <w:szCs w:val="19"/>
          <w:u w:val="single"/>
          <w:bdr w:val="none" w:sz="0" w:space="0" w:color="auto" w:frame="1"/>
          <w:shd w:val="clear" w:color="auto" w:fill="FFFFFF"/>
          <w:lang w:val="ru-RU"/>
        </w:rPr>
      </w:pPr>
      <w:r>
        <w:rPr>
          <w:rFonts w:ascii="Arial" w:hAnsi="Arial" w:cs="Arial"/>
          <w:color w:val="1F1F1F"/>
          <w:sz w:val="19"/>
          <w:szCs w:val="19"/>
          <w:u w:val="single"/>
          <w:bdr w:val="none" w:sz="0" w:space="0" w:color="auto" w:frame="1"/>
          <w:shd w:val="clear" w:color="auto" w:fill="FFFFFF"/>
          <w:lang w:val="ru-RU"/>
        </w:rPr>
        <w:t>3. Эффективность финансовой политики и показатели бюджета</w:t>
      </w:r>
    </w:p>
    <w:p w:rsidR="00E74F55" w:rsidRDefault="00E74F55" w:rsidP="00E74F55">
      <w:pPr>
        <w:shd w:val="clear" w:color="auto" w:fill="FFFFFF"/>
        <w:spacing w:after="120"/>
        <w:ind w:firstLine="425"/>
        <w:jc w:val="both"/>
        <w:textAlignment w:val="baseline"/>
        <w:rPr>
          <w:rFonts w:ascii="Arial" w:hAnsi="Arial" w:cs="Arial"/>
          <w:sz w:val="19"/>
          <w:szCs w:val="19"/>
          <w:shd w:val="clear" w:color="auto" w:fill="FFFFFF"/>
          <w:lang w:val="ru-RU"/>
        </w:rPr>
      </w:pPr>
      <w:r>
        <w:rPr>
          <w:rFonts w:ascii="Arial" w:hAnsi="Arial" w:cs="Arial"/>
          <w:sz w:val="19"/>
          <w:szCs w:val="19"/>
          <w:shd w:val="clear" w:color="auto" w:fill="FFFFFF"/>
          <w:lang w:val="ru-RU"/>
        </w:rPr>
        <w:t>Собственные доходы бюджета города против 2017 года увеличились на 18% - до 1,72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млрд</w:t>
      </w:r>
      <w:r>
        <w:rPr>
          <w:rFonts w:ascii="Arial" w:hAnsi="Arial" w:cs="Arial"/>
          <w:sz w:val="19"/>
          <w:szCs w:val="19"/>
          <w:shd w:val="clear" w:color="auto" w:fill="FFFFFF"/>
          <w:lang w:val="ru-RU"/>
        </w:rPr>
        <w:t xml:space="preserve"> грн.; доля налоговых поступлений в структуре собственных доходов города составила 90%. При этом указанные поступления умеренно диверсифицированы по плательщикам и источникам, что обеспечивает относительную стабильность и прогнозируемость поступлений в бюджет. Уровень бюджетной обеспеченности в 2018 году составил 6,5 тыс. грн., и продолжает превышать среднее значение для местных бюджетов. Бюджет города остается бюджетом-донором, перечисляя в государственный бюджет реверсную дотацию – 87,3 млн грн</w:t>
      </w:r>
      <w:r w:rsidR="006B7ABC">
        <w:rPr>
          <w:rFonts w:ascii="Arial" w:hAnsi="Arial" w:cs="Arial"/>
          <w:sz w:val="19"/>
          <w:szCs w:val="19"/>
          <w:shd w:val="clear" w:color="auto" w:fill="FFFFFF"/>
          <w:lang w:val="ru-RU"/>
        </w:rPr>
        <w:t>. за 2018 год</w:t>
      </w:r>
      <w:r>
        <w:rPr>
          <w:rFonts w:ascii="Arial" w:hAnsi="Arial" w:cs="Arial"/>
          <w:sz w:val="19"/>
          <w:szCs w:val="19"/>
          <w:shd w:val="clear" w:color="auto" w:fill="FFFFFF"/>
          <w:lang w:val="ru-RU"/>
        </w:rPr>
        <w:t>. В 2018 году бюджет города выполнен с дефицитом в сумме 90,7 млн грн., что главным образом объясняется направлением на расходы свободного остатка средств городского бюджета по состоянию на 01.01.2018 г. в соответствии с частью четвертой статьи 14 и статьи 72 Бюджетного кодекса Украины. При этом по сравнению с предыдущим годом уменьшились уровень долговой нагрузки и ликвидности бюджета; также сократился объем капитальных расходов.</w:t>
      </w:r>
    </w:p>
    <w:p w:rsidR="00E74F55" w:rsidRDefault="00E74F55" w:rsidP="00E74F55">
      <w:pPr>
        <w:shd w:val="clear" w:color="auto" w:fill="FFFFFF"/>
        <w:spacing w:after="120"/>
        <w:ind w:firstLine="425"/>
        <w:jc w:val="both"/>
        <w:textAlignment w:val="baseline"/>
        <w:rPr>
          <w:rFonts w:ascii="Arial" w:hAnsi="Arial" w:cs="Arial"/>
          <w:color w:val="1F1F1F"/>
          <w:sz w:val="19"/>
          <w:szCs w:val="19"/>
          <w:shd w:val="clear" w:color="auto" w:fill="FFFFFF"/>
          <w:lang w:val="ru-RU"/>
        </w:rPr>
      </w:pPr>
      <w:r>
        <w:rPr>
          <w:rFonts w:ascii="Arial" w:hAnsi="Arial" w:cs="Arial"/>
          <w:color w:val="1F1F1F"/>
          <w:sz w:val="19"/>
          <w:szCs w:val="19"/>
          <w:u w:val="single"/>
          <w:bdr w:val="none" w:sz="0" w:space="0" w:color="auto" w:frame="1"/>
          <w:shd w:val="clear" w:color="auto" w:fill="FFFFFF"/>
          <w:lang w:val="ru-RU"/>
        </w:rPr>
        <w:t>4. Чувствительность бюджета и экономики города к воздействию негативных факторов</w:t>
      </w:r>
    </w:p>
    <w:p w:rsidR="00E74F55" w:rsidRDefault="00E74F55" w:rsidP="00E74F55">
      <w:pPr>
        <w:shd w:val="clear" w:color="auto" w:fill="FFFFFF"/>
        <w:spacing w:after="120"/>
        <w:ind w:firstLine="425"/>
        <w:jc w:val="both"/>
        <w:textAlignment w:val="baseline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У города есть потребность в привлечении дополнительного финансирования, в том числе на восстановление объектов городской инфраструктуры и жилищно-коммунального хозяйства, что может повлечь привлечение значительного объема долгового финансирования коммунальным сектором города и соответствующего увеличения объема консолидированного долга в среднесрочной перспективе. При этом, в рассматриваемом периоде, коммунальные предприятия не выходили на рынок заемного финансирования, а городской совет вернул часть займа, который был привлечен в предыдущих периодах. За 2018 год уровень консолидированной долговой нагрузки (котор</w:t>
      </w:r>
      <w:r w:rsidR="006B7ABC">
        <w:rPr>
          <w:rFonts w:ascii="Arial" w:hAnsi="Arial" w:cs="Arial"/>
          <w:sz w:val="19"/>
          <w:szCs w:val="19"/>
          <w:lang w:val="ru-RU"/>
        </w:rPr>
        <w:t>ая</w:t>
      </w:r>
      <w:r>
        <w:rPr>
          <w:rFonts w:ascii="Arial" w:hAnsi="Arial" w:cs="Arial"/>
          <w:sz w:val="19"/>
          <w:szCs w:val="19"/>
          <w:lang w:val="ru-RU"/>
        </w:rPr>
        <w:t xml:space="preserve"> на 95% состоит из задолженности по среднесрочным займам, привлеченным с единого казначейского счета в предыдущих бюджетных периодах, и погашение которой, в соответствии с пунктом 21 заключительных и переходных положений Бюджетного кодекса Украины, не требуется до законодательного урегулирования этому вопросу) на доходную часть бюджета (без учета трансфертов) снизился на 1,1 п. п. и на 01.01.2019 г. составил 5%. По мнению Агентства, влияние негативных факторов на экономику и финансовую состоятельность города остается умеренным - промышленный комплекс частично адаптировался к рискам, возникшим в связи с военным конфликтом на востоке Украины и введением торговых ограничений между Украиной и РФ.</w:t>
      </w:r>
    </w:p>
    <w:p w:rsidR="00E74F55" w:rsidRDefault="00E74F55" w:rsidP="00E74F55">
      <w:pPr>
        <w:ind w:firstLine="426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Для проведения аналитического исследования были использованы материалы, полученные от города Сумы, в том числе: показатели социально-экономического развития, статистические данные, казначейская отчетность, программные материалы, другая необходимая внутренняя информация, а также информация из открытых источников, которую Рейтинговое агентство считает достоверной.</w:t>
      </w:r>
    </w:p>
    <w:p w:rsidR="00E74F55" w:rsidRDefault="00E74F55" w:rsidP="00E74F55">
      <w:pPr>
        <w:jc w:val="both"/>
        <w:rPr>
          <w:rFonts w:ascii="Arial" w:hAnsi="Arial" w:cs="Arial"/>
          <w:sz w:val="19"/>
          <w:szCs w:val="19"/>
          <w:lang w:val="ru-RU"/>
        </w:rPr>
      </w:pPr>
    </w:p>
    <w:p w:rsidR="00E74F55" w:rsidRDefault="00E74F55" w:rsidP="00E74F55">
      <w:pPr>
        <w:jc w:val="both"/>
        <w:rPr>
          <w:rFonts w:ascii="Arial" w:hAnsi="Arial" w:cs="Arial"/>
          <w:b/>
          <w:sz w:val="19"/>
          <w:szCs w:val="19"/>
          <w:lang w:val="ru-RU"/>
        </w:rPr>
      </w:pPr>
      <w:r>
        <w:rPr>
          <w:rFonts w:ascii="Arial" w:hAnsi="Arial" w:cs="Arial"/>
          <w:b/>
          <w:sz w:val="19"/>
          <w:szCs w:val="19"/>
          <w:lang w:val="ru-RU"/>
        </w:rPr>
        <w:t>Муниципальный департамент</w:t>
      </w:r>
    </w:p>
    <w:p w:rsidR="00E74F55" w:rsidRDefault="00E74F55" w:rsidP="00E74F55">
      <w:pPr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За дополнительной информацией обращайтесь: </w:t>
      </w:r>
    </w:p>
    <w:p w:rsidR="00E74F55" w:rsidRDefault="006B7ABC" w:rsidP="00E74F55">
      <w:pPr>
        <w:jc w:val="both"/>
        <w:rPr>
          <w:rFonts w:ascii="Arial" w:hAnsi="Arial" w:cs="Arial"/>
          <w:sz w:val="19"/>
          <w:szCs w:val="19"/>
          <w:lang w:val="en-US"/>
        </w:rPr>
      </w:pPr>
      <w:hyperlink r:id="rId5" w:history="1">
        <w:r w:rsidR="00E74F55">
          <w:rPr>
            <w:rStyle w:val="a3"/>
            <w:rFonts w:ascii="Arial" w:hAnsi="Arial" w:cs="Arial"/>
            <w:sz w:val="19"/>
            <w:szCs w:val="19"/>
            <w:lang w:val="ru-RU"/>
          </w:rPr>
          <w:t>Пресс</w:t>
        </w:r>
        <w:r w:rsidR="00E74F55">
          <w:rPr>
            <w:rStyle w:val="a3"/>
            <w:rFonts w:ascii="Arial" w:hAnsi="Arial" w:cs="Arial"/>
            <w:sz w:val="19"/>
            <w:szCs w:val="19"/>
            <w:lang w:val="en-US"/>
          </w:rPr>
          <w:t>-</w:t>
        </w:r>
        <w:r w:rsidR="00E74F55">
          <w:rPr>
            <w:rStyle w:val="a3"/>
            <w:rFonts w:ascii="Arial" w:hAnsi="Arial" w:cs="Arial"/>
            <w:sz w:val="19"/>
            <w:szCs w:val="19"/>
            <w:lang w:val="ru-RU"/>
          </w:rPr>
          <w:t>служба</w:t>
        </w:r>
        <w:r w:rsidR="00E74F55">
          <w:rPr>
            <w:rStyle w:val="a3"/>
            <w:rFonts w:ascii="Arial" w:hAnsi="Arial" w:cs="Arial"/>
            <w:sz w:val="19"/>
            <w:szCs w:val="19"/>
            <w:lang w:val="en-US"/>
          </w:rPr>
          <w:t xml:space="preserve"> IBI-Rating</w:t>
        </w:r>
      </w:hyperlink>
      <w:bookmarkStart w:id="0" w:name="_GoBack"/>
      <w:bookmarkEnd w:id="0"/>
    </w:p>
    <w:p w:rsidR="00E74F55" w:rsidRDefault="00E74F55" w:rsidP="00E74F55">
      <w:pPr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(044) 362-90-84</w:t>
      </w:r>
    </w:p>
    <w:p w:rsidR="00E74F55" w:rsidRDefault="00E74F55" w:rsidP="00E74F55">
      <w:pPr>
        <w:jc w:val="both"/>
        <w:rPr>
          <w:rFonts w:ascii="Arial" w:hAnsi="Arial" w:cs="Arial"/>
          <w:sz w:val="19"/>
          <w:szCs w:val="19"/>
          <w:lang w:val="en-US"/>
        </w:rPr>
      </w:pPr>
      <w:proofErr w:type="gramStart"/>
      <w:r>
        <w:rPr>
          <w:rFonts w:ascii="Arial" w:hAnsi="Arial" w:cs="Arial"/>
          <w:sz w:val="19"/>
          <w:szCs w:val="19"/>
          <w:lang w:val="en-US"/>
        </w:rPr>
        <w:t>press(</w:t>
      </w:r>
      <w:proofErr w:type="gramEnd"/>
      <w:r>
        <w:rPr>
          <w:rFonts w:ascii="Arial" w:hAnsi="Arial" w:cs="Arial"/>
          <w:sz w:val="19"/>
          <w:szCs w:val="19"/>
          <w:lang w:val="en-US"/>
        </w:rPr>
        <w:t>at)ibi.com.ua</w:t>
      </w:r>
    </w:p>
    <w:p w:rsidR="00E2582A" w:rsidRPr="00E74F55" w:rsidRDefault="00E2582A">
      <w:pPr>
        <w:rPr>
          <w:lang w:val="en-US"/>
        </w:rPr>
      </w:pPr>
    </w:p>
    <w:sectPr w:rsidR="00E2582A" w:rsidRPr="00E74F55" w:rsidSect="00E74F55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Cy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A7"/>
    <w:rsid w:val="006B7ABC"/>
    <w:rsid w:val="009520A7"/>
    <w:rsid w:val="00E2582A"/>
    <w:rsid w:val="00E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716B"/>
  <w15:chartTrackingRefBased/>
  <w15:docId w15:val="{F96988F0-84BC-4B50-BD1C-E1748E8B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IBI-Rating"/>
    <w:qFormat/>
    <w:rsid w:val="00E7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E74F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4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bi.com.ua/RU/news/informaciya-dlya-zm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Osadcha</dc:creator>
  <cp:keywords/>
  <dc:description/>
  <cp:lastModifiedBy>Natalia Osadcha</cp:lastModifiedBy>
  <cp:revision>4</cp:revision>
  <dcterms:created xsi:type="dcterms:W3CDTF">2019-07-08T10:05:00Z</dcterms:created>
  <dcterms:modified xsi:type="dcterms:W3CDTF">2019-07-08T14:25:00Z</dcterms:modified>
</cp:coreProperties>
</file>