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681C" w14:textId="77777777"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39" w:type="dxa"/>
        <w:jc w:val="center"/>
        <w:tblLayout w:type="fixed"/>
        <w:tblLook w:val="01E0" w:firstRow="1" w:lastRow="1" w:firstColumn="1" w:lastColumn="1" w:noHBand="0" w:noVBand="0"/>
      </w:tblPr>
      <w:tblGrid>
        <w:gridCol w:w="4222"/>
        <w:gridCol w:w="72"/>
        <w:gridCol w:w="788"/>
        <w:gridCol w:w="213"/>
        <w:gridCol w:w="288"/>
        <w:gridCol w:w="4156"/>
      </w:tblGrid>
      <w:tr w:rsidR="004F6667" w:rsidRPr="00BC65AB" w14:paraId="2E150A47" w14:textId="77777777" w:rsidTr="00C32D81">
        <w:trPr>
          <w:cantSplit/>
          <w:trHeight w:val="18"/>
          <w:jc w:val="center"/>
        </w:trPr>
        <w:tc>
          <w:tcPr>
            <w:tcW w:w="4222" w:type="dxa"/>
            <w:shd w:val="clear" w:color="auto" w:fill="auto"/>
          </w:tcPr>
          <w:p w14:paraId="46B1CF11" w14:textId="77777777" w:rsidR="004F6667" w:rsidRPr="00C5700F" w:rsidRDefault="004F6667" w:rsidP="003C5D6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  <w:tc>
          <w:tcPr>
            <w:tcW w:w="1073" w:type="dxa"/>
            <w:gridSpan w:val="3"/>
            <w:shd w:val="clear" w:color="auto" w:fill="auto"/>
          </w:tcPr>
          <w:p w14:paraId="2E61914C" w14:textId="77777777" w:rsidR="004F6667" w:rsidRPr="00BC65A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C65AB">
              <w:rPr>
                <w:noProof/>
                <w:sz w:val="28"/>
                <w:szCs w:val="28"/>
              </w:rPr>
              <w:drawing>
                <wp:inline distT="0" distB="0" distL="0" distR="0" wp14:anchorId="79C19148" wp14:editId="11EF7F4E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gridSpan w:val="2"/>
            <w:shd w:val="clear" w:color="auto" w:fill="auto"/>
          </w:tcPr>
          <w:p w14:paraId="700FED71" w14:textId="77777777" w:rsidR="004F6667" w:rsidRPr="00BC65A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BC65AB" w14:paraId="300749E0" w14:textId="77777777" w:rsidTr="00C32D81">
        <w:trPr>
          <w:trHeight w:val="355"/>
          <w:jc w:val="center"/>
        </w:trPr>
        <w:tc>
          <w:tcPr>
            <w:tcW w:w="4222" w:type="dxa"/>
            <w:shd w:val="clear" w:color="auto" w:fill="auto"/>
          </w:tcPr>
          <w:p w14:paraId="783813F1" w14:textId="77777777" w:rsidR="004F6667" w:rsidRPr="00BC65AB" w:rsidRDefault="004F6667" w:rsidP="003C5D6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Cs/>
                <w:noProof/>
                <w:sz w:val="28"/>
                <w:szCs w:val="28"/>
                <w:lang w:val="uk-UA"/>
              </w:rPr>
            </w:pPr>
            <w:r w:rsidRPr="00BC65AB">
              <w:rPr>
                <w:i/>
                <w:iCs/>
                <w:noProof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073" w:type="dxa"/>
            <w:gridSpan w:val="3"/>
            <w:shd w:val="clear" w:color="auto" w:fill="auto"/>
          </w:tcPr>
          <w:p w14:paraId="1A61EFB3" w14:textId="77777777" w:rsidR="004F6667" w:rsidRPr="00BC65A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442" w:type="dxa"/>
            <w:gridSpan w:val="2"/>
            <w:shd w:val="clear" w:color="auto" w:fill="auto"/>
          </w:tcPr>
          <w:p w14:paraId="3A357647" w14:textId="77777777" w:rsidR="004F6667" w:rsidRPr="00BC65A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BC65AB" w14:paraId="1E8CE995" w14:textId="77777777" w:rsidTr="00C32D81">
        <w:trPr>
          <w:trHeight w:val="1052"/>
          <w:jc w:val="center"/>
        </w:trPr>
        <w:tc>
          <w:tcPr>
            <w:tcW w:w="9739" w:type="dxa"/>
            <w:gridSpan w:val="6"/>
            <w:shd w:val="clear" w:color="auto" w:fill="auto"/>
          </w:tcPr>
          <w:p w14:paraId="22A9E62D" w14:textId="1D1262FD" w:rsidR="004F6667" w:rsidRPr="00BC65AB" w:rsidRDefault="00BC65AB" w:rsidP="00BC65A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noProof/>
                <w:lang w:val="uk-UA"/>
              </w:rPr>
            </w:pPr>
            <w:r w:rsidRPr="00BC65AB">
              <w:rPr>
                <w:sz w:val="32"/>
                <w:szCs w:val="32"/>
                <w:lang w:val="uk-UA"/>
              </w:rPr>
              <w:t xml:space="preserve">           </w:t>
            </w:r>
            <w:r w:rsidR="004F6667" w:rsidRPr="00BC65AB">
              <w:rPr>
                <w:sz w:val="32"/>
                <w:szCs w:val="32"/>
                <w:lang w:val="uk-UA"/>
              </w:rPr>
              <w:t>СУМСЬКА</w:t>
            </w:r>
            <w:r w:rsidRPr="00BC65AB">
              <w:rPr>
                <w:sz w:val="32"/>
                <w:szCs w:val="32"/>
                <w:lang w:val="uk-UA"/>
              </w:rPr>
              <w:t xml:space="preserve"> МІСЬКА ВІЙСЬКОВА АДМІНІСТРАЦІЯ</w:t>
            </w:r>
          </w:p>
          <w:p w14:paraId="6AF010FB" w14:textId="6032994A" w:rsidR="00A16E72" w:rsidRPr="00BC65AB" w:rsidRDefault="00BC65AB" w:rsidP="00BC65AB">
            <w:pPr>
              <w:rPr>
                <w:sz w:val="32"/>
                <w:szCs w:val="32"/>
                <w:lang w:val="uk-UA"/>
              </w:rPr>
            </w:pPr>
            <w:r w:rsidRPr="00BC65AB">
              <w:rPr>
                <w:sz w:val="32"/>
                <w:szCs w:val="32"/>
                <w:lang w:val="uk-UA"/>
              </w:rPr>
              <w:t xml:space="preserve">                </w:t>
            </w:r>
            <w:r w:rsidR="004F6667" w:rsidRPr="00BC65A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  <w:r w:rsidR="00193D06" w:rsidRPr="00BC65AB">
              <w:rPr>
                <w:b/>
                <w:sz w:val="40"/>
                <w:szCs w:val="40"/>
              </w:rPr>
              <w:t xml:space="preserve">     </w:t>
            </w:r>
          </w:p>
          <w:p w14:paraId="16C855B6" w14:textId="7358C1B9" w:rsidR="004F6667" w:rsidRPr="00BC65AB" w:rsidRDefault="00BC65AB" w:rsidP="00BC65AB">
            <w:pPr>
              <w:pStyle w:val="a3"/>
              <w:tabs>
                <w:tab w:val="left" w:pos="4680"/>
              </w:tabs>
              <w:jc w:val="left"/>
              <w:outlineLvl w:val="0"/>
              <w:rPr>
                <w:b/>
                <w:sz w:val="40"/>
                <w:szCs w:val="40"/>
                <w:lang w:val="ru-RU"/>
              </w:rPr>
            </w:pPr>
            <w:r w:rsidRPr="00BC65AB">
              <w:rPr>
                <w:b/>
                <w:sz w:val="32"/>
                <w:szCs w:val="32"/>
                <w:lang w:val="ru-RU"/>
              </w:rPr>
              <w:t xml:space="preserve">                                    </w:t>
            </w:r>
            <w:r w:rsidR="005613D4" w:rsidRPr="00BC65AB">
              <w:rPr>
                <w:b/>
                <w:sz w:val="32"/>
                <w:szCs w:val="32"/>
                <w:lang w:val="ru-RU"/>
              </w:rPr>
              <w:t xml:space="preserve">  </w:t>
            </w:r>
            <w:r w:rsidR="00383218" w:rsidRPr="00BC65AB">
              <w:rPr>
                <w:b/>
                <w:sz w:val="32"/>
                <w:szCs w:val="32"/>
                <w:lang w:val="ru-RU"/>
              </w:rPr>
              <w:t>РОЗПОРЯДЖЕННЯ</w:t>
            </w:r>
            <w:r w:rsidR="004F6667" w:rsidRPr="00BC65AB">
              <w:rPr>
                <w:b/>
                <w:sz w:val="40"/>
                <w:szCs w:val="40"/>
                <w:lang w:val="ru-RU"/>
              </w:rPr>
              <w:t xml:space="preserve"> </w:t>
            </w:r>
          </w:p>
        </w:tc>
      </w:tr>
      <w:tr w:rsidR="00F82F15" w:rsidRPr="00BC65AB" w14:paraId="0639205B" w14:textId="77777777" w:rsidTr="00C32D81">
        <w:trPr>
          <w:trHeight w:val="355"/>
          <w:jc w:val="center"/>
        </w:trPr>
        <w:tc>
          <w:tcPr>
            <w:tcW w:w="9739" w:type="dxa"/>
            <w:gridSpan w:val="6"/>
            <w:shd w:val="clear" w:color="auto" w:fill="auto"/>
          </w:tcPr>
          <w:p w14:paraId="1EE9B107" w14:textId="77777777" w:rsidR="00F82F15" w:rsidRPr="00BC65A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BC65AB" w14:paraId="6C7C0595" w14:textId="77777777" w:rsidTr="00C32D81">
        <w:tblPrEx>
          <w:jc w:val="left"/>
        </w:tblPrEx>
        <w:trPr>
          <w:trHeight w:val="640"/>
        </w:trPr>
        <w:tc>
          <w:tcPr>
            <w:tcW w:w="4294" w:type="dxa"/>
            <w:gridSpan w:val="2"/>
            <w:shd w:val="clear" w:color="auto" w:fill="auto"/>
          </w:tcPr>
          <w:p w14:paraId="589AE91F" w14:textId="657BD74D" w:rsidR="00F01E48" w:rsidRPr="00BC65AB" w:rsidRDefault="00EF798A" w:rsidP="003C5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18.04.2024</w:t>
            </w:r>
            <w:r w:rsidR="00F01E48" w:rsidRPr="00BC65AB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49EE2E97" w14:textId="77777777" w:rsidR="00F01E48" w:rsidRPr="00BC65A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BC65AB">
              <w:rPr>
                <w:sz w:val="28"/>
                <w:szCs w:val="28"/>
                <w:lang w:val="uk-UA"/>
              </w:rPr>
              <w:t>м. Суми</w:t>
            </w:r>
          </w:p>
          <w:p w14:paraId="517E3903" w14:textId="77777777" w:rsidR="00F01E48" w:rsidRPr="00BC65A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4" w:type="dxa"/>
            <w:shd w:val="clear" w:color="auto" w:fill="auto"/>
          </w:tcPr>
          <w:p w14:paraId="725DFFFA" w14:textId="77E7960F" w:rsidR="00F01E48" w:rsidRPr="00BC65A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BC65AB">
              <w:rPr>
                <w:sz w:val="28"/>
                <w:szCs w:val="28"/>
                <w:lang w:val="uk-UA"/>
              </w:rPr>
              <w:t xml:space="preserve">№ </w:t>
            </w:r>
            <w:r w:rsidR="00EF798A">
              <w:rPr>
                <w:sz w:val="28"/>
                <w:szCs w:val="28"/>
                <w:lang w:val="uk-UA"/>
              </w:rPr>
              <w:t xml:space="preserve"> 132-ВКВА</w:t>
            </w:r>
          </w:p>
          <w:p w14:paraId="1B321C7F" w14:textId="77777777" w:rsidR="00F01E48" w:rsidRPr="00BC65A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BC65AB" w14:paraId="2886423A" w14:textId="77777777" w:rsidTr="00C32D81">
        <w:tblPrEx>
          <w:jc w:val="left"/>
        </w:tblPrEx>
        <w:trPr>
          <w:trHeight w:val="714"/>
        </w:trPr>
        <w:tc>
          <w:tcPr>
            <w:tcW w:w="4294" w:type="dxa"/>
            <w:gridSpan w:val="2"/>
            <w:shd w:val="clear" w:color="auto" w:fill="auto"/>
          </w:tcPr>
          <w:p w14:paraId="40752195" w14:textId="77777777" w:rsidR="008A1FA5" w:rsidRDefault="008A1FA5" w:rsidP="007E6FC6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14:paraId="6CEF0FF9" w14:textId="509A09C1" w:rsidR="007E6FC6" w:rsidRPr="008A1FA5" w:rsidRDefault="007E6FC6" w:rsidP="007E6FC6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8A1FA5">
              <w:rPr>
                <w:rFonts w:eastAsia="Times New Roman"/>
                <w:b/>
                <w:sz w:val="28"/>
                <w:szCs w:val="28"/>
                <w:lang w:val="uk-UA"/>
              </w:rPr>
              <w:t>Про випробування теплових мереж міста Суми підвищеним тиском</w:t>
            </w:r>
          </w:p>
          <w:bookmarkEnd w:id="0"/>
          <w:p w14:paraId="2A44C48F" w14:textId="77777777" w:rsidR="00BB652A" w:rsidRPr="008A1FA5" w:rsidRDefault="00BB652A" w:rsidP="007E6F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444" w:type="dxa"/>
            <w:gridSpan w:val="4"/>
            <w:shd w:val="clear" w:color="auto" w:fill="auto"/>
          </w:tcPr>
          <w:p w14:paraId="2B357A97" w14:textId="77777777" w:rsidR="00BB652A" w:rsidRPr="00BC65AB" w:rsidRDefault="00BB652A">
            <w:pPr>
              <w:spacing w:after="160" w:line="259" w:lineRule="auto"/>
              <w:rPr>
                <w:lang w:val="uk-UA"/>
              </w:rPr>
            </w:pPr>
          </w:p>
          <w:p w14:paraId="3DACC820" w14:textId="77777777" w:rsidR="00BB652A" w:rsidRPr="00BC65A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667" w:rsidRPr="00BC65AB" w14:paraId="4FFF2EB5" w14:textId="77777777" w:rsidTr="00C32D81">
        <w:tblPrEx>
          <w:jc w:val="left"/>
        </w:tblPrEx>
        <w:trPr>
          <w:gridAfter w:val="3"/>
          <w:wAfter w:w="4657" w:type="dxa"/>
          <w:trHeight w:val="18"/>
        </w:trPr>
        <w:tc>
          <w:tcPr>
            <w:tcW w:w="5082" w:type="dxa"/>
            <w:gridSpan w:val="3"/>
            <w:shd w:val="clear" w:color="auto" w:fill="auto"/>
          </w:tcPr>
          <w:p w14:paraId="41A7734D" w14:textId="77777777" w:rsidR="004F6667" w:rsidRPr="00BC65AB" w:rsidRDefault="004F6667" w:rsidP="000961E3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  <w:tr w:rsidR="00F82F15" w:rsidRPr="00C32D81" w14:paraId="1EBEF177" w14:textId="77777777" w:rsidTr="00C32D81">
        <w:tblPrEx>
          <w:jc w:val="left"/>
        </w:tblPrEx>
        <w:trPr>
          <w:trHeight w:val="2499"/>
        </w:trPr>
        <w:tc>
          <w:tcPr>
            <w:tcW w:w="9739" w:type="dxa"/>
            <w:gridSpan w:val="6"/>
            <w:shd w:val="clear" w:color="auto" w:fill="auto"/>
          </w:tcPr>
          <w:p w14:paraId="0BAFB883" w14:textId="2D66768C" w:rsidR="00F82F15" w:rsidRPr="00C32D81" w:rsidRDefault="007E6FC6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З метою </w:t>
            </w:r>
            <w:r w:rsidR="00FC75EA" w:rsidRPr="00C32D81">
              <w:rPr>
                <w:rFonts w:eastAsia="Times New Roman"/>
                <w:sz w:val="28"/>
                <w:szCs w:val="28"/>
                <w:lang w:val="uk-UA"/>
              </w:rPr>
              <w:t>забезпечення підготовки теплового господарства міста Суми до опалювального періоду 2024-2025 рр.,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FC75EA" w:rsidRPr="00C32D81">
              <w:rPr>
                <w:rFonts w:eastAsia="Times New Roman"/>
                <w:sz w:val="28"/>
                <w:szCs w:val="28"/>
                <w:lang w:val="uk-UA"/>
              </w:rPr>
              <w:t>на виконання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Правил технічної експлуатації теплових установок та мереж, затверджених наказом Міністерства палива та енергетики України від 14.02.07  № 71, керуючись пунктом 10 частини 2 статті 15  «Про правовий режим воєнного стану»:   </w:t>
            </w:r>
          </w:p>
          <w:p w14:paraId="6F463C80" w14:textId="5B2E24EE" w:rsidR="00F82F15" w:rsidRPr="00C32D81" w:rsidRDefault="00F82F15" w:rsidP="00C32D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14:paraId="748BDC34" w14:textId="36297A12" w:rsidR="007E6FC6" w:rsidRPr="00C32D81" w:rsidRDefault="007E6FC6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b/>
                <w:sz w:val="28"/>
                <w:szCs w:val="28"/>
                <w:lang w:val="uk-UA"/>
              </w:rPr>
              <w:t>1.</w:t>
            </w:r>
            <w:r w:rsidR="003F50C1" w:rsidRPr="00C32D81">
              <w:rPr>
                <w:rFonts w:eastAsia="Times New Roman"/>
                <w:sz w:val="28"/>
                <w:szCs w:val="28"/>
                <w:lang w:val="uk-UA"/>
              </w:rPr>
              <w:t> 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» (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Васюнін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Д.Г.) провести  гідравлічні випробування теплових мереж міста Суми підвищеним тиском (16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Pr="00C32D81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та 12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Pr="00C32D81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) за участі представників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 xml:space="preserve"> військової адміністрації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/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органу місцевого самоврядування (Департаменту інфраструктури міста Сумської міської ради):</w:t>
            </w:r>
          </w:p>
          <w:p w14:paraId="348BB1B3" w14:textId="327CB4DB" w:rsidR="007E6FC6" w:rsidRPr="00C32D81" w:rsidRDefault="007E6FC6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>1.1 З 01 травня по 08 серпня 2024 року на  теплових мережах центральної частини міста, що забезпечується тепловою енергією від ТЕЦ, пров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ести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поетапні випробування підвищеним тиском (16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Pr="00C32D81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) магістральних та (12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Pr="00C32D81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) розподільчих теплових мереж. У зв’язку з поетапним випробуванням при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зупинити централізоване постачання гарячої води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:</w:t>
            </w:r>
          </w:p>
          <w:p w14:paraId="4CD11E76" w14:textId="628D89DC" w:rsidR="007E6FC6" w:rsidRPr="00C32D81" w:rsidRDefault="007E6FC6" w:rsidP="00C32D81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1) з  01.05.2024 по 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31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.05.2024 по магістралям  № 5, № 7, № 4, № 3, № 1, № 2 у районі проспекту М.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Лушпи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, проспекту Свободи</w:t>
            </w:r>
            <w:r w:rsidR="008A1FA5">
              <w:rPr>
                <w:rFonts w:eastAsia="Times New Roman"/>
                <w:sz w:val="28"/>
                <w:szCs w:val="28"/>
                <w:lang w:val="uk-UA"/>
              </w:rPr>
              <w:t xml:space="preserve">, вулиць Збройних Сил України, 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І. Сірка, Героїв Крут, Харківської, С.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Табали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Севєра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), Троїцької, Привокзальної, Революції Гідності, проспекту Т. Шевченка,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Новомістенської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, З.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Красовицького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, Воскресенської, Г.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, Петропавлівської, майдану Незалежності, Покровської,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Шишкарівської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Тополянської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, Григорія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Давидовського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, 2-ої Залізничної, Британської, Серпневої, Охтирської, Миру, М.</w:t>
            </w:r>
            <w:r w:rsidR="008A1FA5">
              <w:rPr>
                <w:rFonts w:eastAsia="Times New Roman"/>
                <w:sz w:val="28"/>
                <w:szCs w:val="28"/>
                <w:lang w:val="uk-UA"/>
              </w:rPr>
              <w:t> 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Сумцова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, Марко Вовчок,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Нижньосироватської</w:t>
            </w:r>
            <w:proofErr w:type="spellEnd"/>
            <w:r w:rsidR="00247737" w:rsidRPr="00C32D81">
              <w:rPr>
                <w:sz w:val="28"/>
                <w:szCs w:val="28"/>
                <w:lang w:val="uk-UA"/>
              </w:rPr>
              <w:t>;</w:t>
            </w:r>
          </w:p>
          <w:p w14:paraId="0D8A6A83" w14:textId="574D6857" w:rsidR="007E6FC6" w:rsidRPr="00C32D81" w:rsidRDefault="007E6FC6" w:rsidP="00C32D81">
            <w:pPr>
              <w:tabs>
                <w:tab w:val="left" w:pos="888"/>
              </w:tabs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2) з 29.07.2024 по 08.08.2024 по магістралям № 1, № 2 у районі вулиць 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Тополянська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, Григорія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Давидовського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, Вєтрова;</w:t>
            </w:r>
          </w:p>
          <w:p w14:paraId="1A2DF399" w14:textId="77777777" w:rsidR="00247737" w:rsidRPr="00C32D81" w:rsidRDefault="00247737" w:rsidP="00C32D81">
            <w:pPr>
              <w:tabs>
                <w:tab w:val="left" w:pos="888"/>
              </w:tabs>
              <w:ind w:firstLine="851"/>
              <w:jc w:val="both"/>
              <w:rPr>
                <w:rFonts w:eastAsia="Times New Roman"/>
                <w:sz w:val="12"/>
                <w:szCs w:val="12"/>
                <w:lang w:val="uk-UA"/>
              </w:rPr>
            </w:pPr>
          </w:p>
          <w:p w14:paraId="1224EEAC" w14:textId="0BF61113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>1.2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З 27 травня по 18 липня 2024 року на теплових мережах північної частини міста, що забезпечується тепловою енергією від котельні Північного 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промвузла, 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провести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поетапні випробування підвищеним тиском (16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Pr="00C32D81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) магістральних та (12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Pr="00C32D81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) розподільчих теплових мереж. У зв’язку з поетапним випробуванням 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призупинити централізоване постачання гарячої води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:</w:t>
            </w:r>
          </w:p>
          <w:p w14:paraId="2DE4F01D" w14:textId="77777777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1) з 27.05.2024 по 06.06.2024 на першій ділянці магістралі № 4 та магістралі № 8 у районі вулиць Магістратської,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Засумської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, Садової, Люблінської, Ярослава Мудрого;</w:t>
            </w:r>
          </w:p>
          <w:p w14:paraId="42DC41C8" w14:textId="77777777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2) з 10.06.2024 по 20.06.2024 на другій ділянці магістралі № 6 та магістралі № 3 у районі вулиць Хворостянка, Ремісничої, Металургів; </w:t>
            </w:r>
          </w:p>
          <w:p w14:paraId="16D466CE" w14:textId="77777777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3) з 24.06.2024 по 04.07.2024 на третій ділянці магістралі № 6 у районі вулиць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Юнаківської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, Лесі Українки та проспекту Перемоги;</w:t>
            </w:r>
          </w:p>
          <w:p w14:paraId="6D78BBCF" w14:textId="77777777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>4) з 08.07.2024 по 18.07.2024 на четвертій ділянці магістралі № 6 у районі вулиці Ковпака та проспекту Перемоги.</w:t>
            </w:r>
          </w:p>
          <w:p w14:paraId="4BC9DF45" w14:textId="77777777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12"/>
                <w:szCs w:val="12"/>
                <w:lang w:val="uk-UA"/>
              </w:rPr>
            </w:pPr>
          </w:p>
          <w:p w14:paraId="1A8749A3" w14:textId="57051FBD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1.3. З 15 квітня по 19 серпня 2024 року на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внутрішньоквартальних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тепломережах від ЦТП Зарічної та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Ковпаківської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теплових дільниць ТОВ</w:t>
            </w:r>
            <w:r w:rsidR="008A1FA5">
              <w:rPr>
                <w:rFonts w:eastAsia="Times New Roman"/>
                <w:sz w:val="28"/>
                <w:szCs w:val="28"/>
                <w:lang w:val="uk-UA"/>
              </w:rPr>
              <w:t> 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» 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 xml:space="preserve">провести поетапні випробування 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підвищеним тиском (12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Pr="00C32D81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) без при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зу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пинення 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централізованого постачання гарячої води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5320B773" w14:textId="77777777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12"/>
                <w:szCs w:val="12"/>
                <w:lang w:val="uk-UA"/>
              </w:rPr>
            </w:pPr>
          </w:p>
          <w:p w14:paraId="600959EF" w14:textId="706036F6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1.4. З 01 травня по 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30 серпня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2024 року на тепломережах та техн</w:t>
            </w:r>
            <w:r w:rsidR="008A1FA5">
              <w:rPr>
                <w:rFonts w:eastAsia="Times New Roman"/>
                <w:sz w:val="28"/>
                <w:szCs w:val="28"/>
                <w:lang w:val="uk-UA"/>
              </w:rPr>
              <w:t xml:space="preserve">ологічному обладнанні </w:t>
            </w:r>
            <w:proofErr w:type="spellStart"/>
            <w:r w:rsidR="008A1FA5">
              <w:rPr>
                <w:rFonts w:eastAsia="Times New Roman"/>
                <w:sz w:val="28"/>
                <w:szCs w:val="28"/>
                <w:lang w:val="uk-UA"/>
              </w:rPr>
              <w:t>котелень</w:t>
            </w:r>
            <w:proofErr w:type="spellEnd"/>
            <w:r w:rsidR="008A1FA5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» </w:t>
            </w:r>
            <w:r w:rsidR="00CF039D" w:rsidRPr="00C32D81">
              <w:rPr>
                <w:rFonts w:eastAsia="Times New Roman"/>
                <w:sz w:val="28"/>
                <w:szCs w:val="28"/>
                <w:lang w:val="uk-UA"/>
              </w:rPr>
              <w:t>провести поетапні випробування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підвищеним тиском (12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Pr="00C32D81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). У зв’язку з проведенням гідравлічних випробувань </w:t>
            </w:r>
            <w:r w:rsidR="00247737" w:rsidRPr="00C32D81">
              <w:rPr>
                <w:rFonts w:eastAsia="Times New Roman"/>
                <w:sz w:val="28"/>
                <w:szCs w:val="28"/>
                <w:lang w:val="uk-UA"/>
              </w:rPr>
              <w:t>призупинити централізоване постачання гарячої води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: </w:t>
            </w:r>
          </w:p>
          <w:p w14:paraId="61CC001C" w14:textId="77777777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>1)   з 01.05.2024 по 30.08.2024 в районі вулиці Білопільський шлях, 38;</w:t>
            </w:r>
          </w:p>
          <w:p w14:paraId="6A2D2DA7" w14:textId="77777777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2)   з 01.05.2024 по 30.08.2024 в районі селища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Веретенівка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623D46B1" w14:textId="138B9D38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>3)   з 01.05.2024 по 3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.2024 у с. Піщане по вулиці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Завгородівка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63CDEB23" w14:textId="3863BC0C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4)   з 01.05.2024 по 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31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.05.2024 в районі вулиці Білопільський шлях;</w:t>
            </w:r>
          </w:p>
          <w:p w14:paraId="6DC27AB3" w14:textId="794DB978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5)   з 01.05.2024 по 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31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.05.2024 в районі вулиці Г.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58EA0ED3" w14:textId="47DDEBCA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6)   з 01.05.2024 по 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31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.05.2024 в районі вулиці Роменська;</w:t>
            </w:r>
          </w:p>
          <w:p w14:paraId="2647A0C7" w14:textId="69CD0CB0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7)   з 01.05.2024 по 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31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.05.2024 в районі вулиці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Гарбузівська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24EFA9E4" w14:textId="7546C1FF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8)   з 01.05.2024 по 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31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.05.2024 в районі вулиці О. Коваленка;</w:t>
            </w:r>
          </w:p>
          <w:p w14:paraId="19556121" w14:textId="629150D6" w:rsidR="00A11523" w:rsidRPr="00C32D81" w:rsidRDefault="00A1152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9)   з 01.05.2024 по </w:t>
            </w:r>
            <w:r w:rsidR="00401454">
              <w:rPr>
                <w:rFonts w:eastAsia="Times New Roman"/>
                <w:sz w:val="28"/>
                <w:szCs w:val="28"/>
                <w:lang w:val="uk-UA"/>
              </w:rPr>
              <w:t>31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.05.2024 в районі вулиці Санаторна;</w:t>
            </w:r>
          </w:p>
          <w:p w14:paraId="7B7BE588" w14:textId="77777777" w:rsidR="007E6FC6" w:rsidRPr="00C32D81" w:rsidRDefault="007E6FC6" w:rsidP="00C32D81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14:paraId="5AB51C6A" w14:textId="77777777" w:rsidR="00C32D81" w:rsidRPr="00C32D81" w:rsidRDefault="00A11523" w:rsidP="00C32D81">
            <w:pPr>
              <w:tabs>
                <w:tab w:val="left" w:pos="975"/>
              </w:tabs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b/>
                <w:sz w:val="28"/>
                <w:szCs w:val="28"/>
                <w:lang w:val="uk-UA"/>
              </w:rPr>
              <w:t>2.</w:t>
            </w:r>
            <w:r w:rsidR="003F50C1" w:rsidRPr="00C32D81">
              <w:rPr>
                <w:rFonts w:eastAsia="Times New Roman"/>
                <w:sz w:val="28"/>
                <w:szCs w:val="28"/>
                <w:lang w:val="uk-UA"/>
              </w:rPr>
              <w:t> 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        (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Бровенко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Є.С.) </w:t>
            </w:r>
            <w:r w:rsidR="00C32D81" w:rsidRPr="00C32D81">
              <w:rPr>
                <w:rFonts w:eastAsia="Times New Roman"/>
                <w:sz w:val="28"/>
                <w:szCs w:val="28"/>
                <w:lang w:val="uk-UA"/>
              </w:rPr>
              <w:t xml:space="preserve">провести організаційну роботу із забезпечення управителями багатоквартирних будинків, головами ОСББ, виконавцями послуг з утримання будинків і споруд та прибудинкових територій встановлення заглушок на теплопунктах в житлових будинках </w:t>
            </w:r>
            <w:r w:rsidR="003E100D" w:rsidRPr="00C32D81">
              <w:rPr>
                <w:rFonts w:eastAsia="Times New Roman"/>
                <w:sz w:val="28"/>
                <w:szCs w:val="28"/>
                <w:lang w:val="uk-UA"/>
              </w:rPr>
              <w:t xml:space="preserve">для виконання у повному обсязі випробування теплових мереж міста Суми та запобігання пошкодженню </w:t>
            </w:r>
            <w:proofErr w:type="spellStart"/>
            <w:r w:rsidR="003E100D" w:rsidRPr="00C32D81">
              <w:rPr>
                <w:rFonts w:eastAsia="Times New Roman"/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="003E100D" w:rsidRPr="00C32D81">
              <w:rPr>
                <w:rFonts w:eastAsia="Times New Roman"/>
                <w:sz w:val="28"/>
                <w:szCs w:val="28"/>
                <w:lang w:val="uk-UA"/>
              </w:rPr>
              <w:t xml:space="preserve"> систем опалення</w:t>
            </w:r>
            <w:r w:rsidR="00C32D81" w:rsidRPr="00C32D81">
              <w:rPr>
                <w:rFonts w:eastAsia="Times New Roman"/>
                <w:sz w:val="28"/>
                <w:szCs w:val="28"/>
                <w:lang w:val="uk-UA"/>
              </w:rPr>
              <w:t>,</w:t>
            </w:r>
            <w:r w:rsidR="003E100D" w:rsidRPr="00C32D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C32D81" w:rsidRPr="00C32D81">
              <w:rPr>
                <w:rFonts w:eastAsia="Times New Roman"/>
                <w:sz w:val="28"/>
                <w:szCs w:val="28"/>
                <w:lang w:val="uk-UA"/>
              </w:rPr>
              <w:t xml:space="preserve">опалювальних приладів, бойлерів та трубопроводів до них </w:t>
            </w:r>
            <w:r w:rsidR="003E100D" w:rsidRPr="00C32D81">
              <w:rPr>
                <w:rFonts w:eastAsia="Times New Roman"/>
                <w:sz w:val="28"/>
                <w:szCs w:val="28"/>
                <w:lang w:val="uk-UA"/>
              </w:rPr>
              <w:t>споживачам тепла в житловому секторі (житлові будинки всіх форм власності)</w:t>
            </w:r>
            <w:r w:rsidR="00C32D81" w:rsidRPr="00C32D81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335B2CE7" w14:textId="77777777" w:rsidR="00F82F15" w:rsidRPr="00C32D81" w:rsidRDefault="00F82F15" w:rsidP="00C32D81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14:paraId="4BD6581C" w14:textId="117386DE" w:rsidR="00004C73" w:rsidRPr="00C32D81" w:rsidRDefault="00004C73" w:rsidP="00C32D81">
            <w:pPr>
              <w:tabs>
                <w:tab w:val="left" w:pos="870"/>
              </w:tabs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b/>
                <w:sz w:val="28"/>
                <w:szCs w:val="28"/>
                <w:lang w:val="uk-UA"/>
              </w:rPr>
              <w:t>3.</w:t>
            </w:r>
            <w:r w:rsidR="003F50C1" w:rsidRPr="00C32D81">
              <w:rPr>
                <w:rFonts w:eastAsia="Times New Roman"/>
                <w:sz w:val="28"/>
                <w:szCs w:val="28"/>
                <w:lang w:val="uk-UA"/>
              </w:rPr>
              <w:t> Управлінню охорони здоров’я Сумської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                    (Чумаченко О.Ю.), </w:t>
            </w:r>
            <w:r w:rsidR="006B6209" w:rsidRPr="00C32D81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правлінню освіти і науки Сумської міської ради 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lastRenderedPageBreak/>
              <w:t>(Вербицька Н.В.) для виконання у повному обсязі випробування тепломереж м</w:t>
            </w:r>
            <w:r w:rsidR="008A1FA5">
              <w:rPr>
                <w:rFonts w:eastAsia="Times New Roman"/>
                <w:sz w:val="28"/>
                <w:szCs w:val="28"/>
                <w:lang w:val="uk-UA"/>
              </w:rPr>
              <w:t>іста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Суми, а також для запобігання пошкодженню </w:t>
            </w:r>
            <w:proofErr w:type="spellStart"/>
            <w:r w:rsidR="006B6209" w:rsidRPr="00C32D81">
              <w:rPr>
                <w:rFonts w:eastAsia="Times New Roman"/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систем опалення закладів охорони здоров’я, навчальних (у т. ч. дошкільних) закладів разом з керівниками цих закладів на час виконання гідравлічних випробувань: </w:t>
            </w:r>
          </w:p>
          <w:p w14:paraId="1BB37392" w14:textId="3161B07D" w:rsidR="00004C73" w:rsidRPr="00C32D81" w:rsidRDefault="003F50C1" w:rsidP="00C32D81">
            <w:pPr>
              <w:ind w:left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>3.1. </w:t>
            </w:r>
            <w:r w:rsidR="00004C73" w:rsidRPr="00C32D81">
              <w:rPr>
                <w:rFonts w:eastAsia="Times New Roman"/>
                <w:sz w:val="28"/>
                <w:szCs w:val="28"/>
                <w:lang w:val="uk-UA"/>
              </w:rPr>
              <w:t>Забезпечити встановлення заглушок на теплопунктах для запобігання пошкодженню опалювальних приладів, бойлерів та трубопроводів до них.</w:t>
            </w:r>
          </w:p>
          <w:p w14:paraId="245D2722" w14:textId="32B389F3" w:rsidR="00004C73" w:rsidRPr="00C32D81" w:rsidRDefault="00004C73" w:rsidP="00C32D81">
            <w:pPr>
              <w:ind w:left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>3.2. Установити чергування персоналу на  теплопунктах.</w:t>
            </w:r>
          </w:p>
          <w:p w14:paraId="24B2FD33" w14:textId="77777777" w:rsidR="00004C73" w:rsidRPr="00C32D81" w:rsidRDefault="00004C7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sz w:val="28"/>
                <w:szCs w:val="28"/>
                <w:lang w:val="uk-UA"/>
              </w:rPr>
              <w:t>3.3. Забезпечити  галузеві об’єкти  гарячою водою.</w:t>
            </w:r>
          </w:p>
          <w:p w14:paraId="01A849B3" w14:textId="77777777" w:rsidR="00004C73" w:rsidRPr="00C32D81" w:rsidRDefault="00004C7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0200609" w14:textId="197899BD" w:rsidR="00004C73" w:rsidRPr="00C32D81" w:rsidRDefault="00004C7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4. 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>» (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Васюнін</w:t>
            </w:r>
            <w:proofErr w:type="spellEnd"/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Д.Г.), ТОВ «Котельня північного промислового вузла» (Резнік О.М.) за 10 днів </w:t>
            </w:r>
            <w:r w:rsidR="006B6209" w:rsidRPr="00C32D81">
              <w:rPr>
                <w:rFonts w:eastAsia="Times New Roman"/>
                <w:sz w:val="28"/>
                <w:szCs w:val="28"/>
                <w:lang w:val="uk-UA"/>
              </w:rPr>
              <w:t>до дня початку випробувань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попередити споживачів теплової енергії через засоби масової інформації </w:t>
            </w:r>
            <w:r w:rsidR="003E62E6" w:rsidRPr="00C32D81">
              <w:rPr>
                <w:rFonts w:eastAsia="Times New Roman"/>
                <w:sz w:val="28"/>
                <w:szCs w:val="28"/>
                <w:lang w:val="uk-UA"/>
              </w:rPr>
              <w:t>про проведення випробувань теплових мереж підвищеним тиском та строки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при</w:t>
            </w:r>
            <w:r w:rsidR="006B6209" w:rsidRPr="00C32D81">
              <w:rPr>
                <w:rFonts w:eastAsia="Times New Roman"/>
                <w:sz w:val="28"/>
                <w:szCs w:val="28"/>
                <w:lang w:val="uk-UA"/>
              </w:rPr>
              <w:t>зу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>пинення</w:t>
            </w:r>
            <w:r w:rsidR="006B6209" w:rsidRPr="00C32D81">
              <w:rPr>
                <w:rFonts w:eastAsia="Times New Roman"/>
                <w:sz w:val="28"/>
                <w:szCs w:val="28"/>
                <w:lang w:val="uk-UA"/>
              </w:rPr>
              <w:t xml:space="preserve"> централізованого постачання гарячої води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(у </w:t>
            </w:r>
            <w:proofErr w:type="spellStart"/>
            <w:r w:rsidRPr="00C32D81">
              <w:rPr>
                <w:rFonts w:eastAsia="Times New Roman"/>
                <w:sz w:val="28"/>
                <w:szCs w:val="28"/>
                <w:lang w:val="uk-UA"/>
              </w:rPr>
              <w:t>т.ч</w:t>
            </w:r>
            <w:proofErr w:type="spellEnd"/>
            <w:r w:rsidR="00C02336" w:rsidRPr="00C32D81">
              <w:rPr>
                <w:rFonts w:eastAsia="Times New Roman"/>
                <w:sz w:val="28"/>
                <w:szCs w:val="28"/>
                <w:lang w:val="uk-UA"/>
              </w:rPr>
              <w:t xml:space="preserve">. подати відповідну інформацію Управлінню суспільних 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комун</w:t>
            </w:r>
            <w:r w:rsidR="00C02336" w:rsidRPr="00C32D81">
              <w:rPr>
                <w:rFonts w:eastAsia="Times New Roman"/>
                <w:sz w:val="28"/>
                <w:szCs w:val="28"/>
                <w:lang w:val="uk-UA"/>
              </w:rPr>
              <w:t xml:space="preserve">ікацій 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 (</w:t>
            </w:r>
            <w:r w:rsidR="00AE7E3E">
              <w:rPr>
                <w:rFonts w:eastAsia="Times New Roman"/>
                <w:sz w:val="28"/>
                <w:szCs w:val="28"/>
                <w:lang w:val="uk-UA"/>
              </w:rPr>
              <w:t>Моша А.М.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) для розміщення на офіційному веб-сайті Сумської міської ради). </w:t>
            </w:r>
          </w:p>
          <w:p w14:paraId="57944EFA" w14:textId="77777777" w:rsidR="00004C73" w:rsidRPr="00C32D81" w:rsidRDefault="00004C73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422E52E" w14:textId="13256633" w:rsidR="00877397" w:rsidRPr="00C32D81" w:rsidRDefault="00004C73" w:rsidP="00C32D81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C32D81">
              <w:rPr>
                <w:rFonts w:eastAsia="Times New Roman"/>
                <w:b/>
                <w:sz w:val="28"/>
                <w:szCs w:val="28"/>
                <w:lang w:val="uk-UA"/>
              </w:rPr>
              <w:t>5.</w:t>
            </w:r>
            <w:r w:rsidRPr="00C32D81">
              <w:rPr>
                <w:rFonts w:eastAsia="Times New Roman"/>
                <w:sz w:val="28"/>
                <w:szCs w:val="28"/>
                <w:lang w:val="uk-UA"/>
              </w:rPr>
              <w:t xml:space="preserve"> Контроль</w:t>
            </w:r>
            <w:r w:rsidRPr="00C32D81">
              <w:rPr>
                <w:sz w:val="28"/>
                <w:szCs w:val="28"/>
                <w:lang w:val="uk-UA"/>
              </w:rPr>
              <w:t xml:space="preserve"> за виконанням даного</w:t>
            </w:r>
            <w:r w:rsidR="00C32D81" w:rsidRPr="00C32D81">
              <w:rPr>
                <w:sz w:val="28"/>
                <w:szCs w:val="28"/>
                <w:lang w:val="uk-UA"/>
              </w:rPr>
              <w:t xml:space="preserve"> розпорядження </w:t>
            </w:r>
            <w:r w:rsidR="003F50C1" w:rsidRPr="00C32D81">
              <w:rPr>
                <w:sz w:val="28"/>
                <w:szCs w:val="28"/>
                <w:lang w:val="uk-UA"/>
              </w:rPr>
              <w:t>покласти</w:t>
            </w:r>
            <w:r w:rsidR="00C32D81" w:rsidRPr="00C32D81">
              <w:rPr>
                <w:sz w:val="28"/>
                <w:szCs w:val="28"/>
                <w:lang w:val="uk-UA"/>
              </w:rPr>
              <w:t xml:space="preserve"> на заступника міського голови з питань діяльності виконавчих органів ради згідно з розподілом повноважень.</w:t>
            </w:r>
          </w:p>
          <w:p w14:paraId="29BEFB64" w14:textId="77777777" w:rsidR="00F82F15" w:rsidRPr="00C32D81" w:rsidRDefault="00F82F15" w:rsidP="00C32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5EA" w:rsidRPr="00BC65AB" w14:paraId="6258B3A6" w14:textId="77777777" w:rsidTr="00C32D81">
        <w:tblPrEx>
          <w:jc w:val="left"/>
        </w:tblPrEx>
        <w:trPr>
          <w:trHeight w:val="2499"/>
        </w:trPr>
        <w:tc>
          <w:tcPr>
            <w:tcW w:w="9739" w:type="dxa"/>
            <w:gridSpan w:val="6"/>
            <w:shd w:val="clear" w:color="auto" w:fill="auto"/>
          </w:tcPr>
          <w:p w14:paraId="40D5BA4B" w14:textId="77777777" w:rsidR="00FC75EA" w:rsidRPr="00BC65AB" w:rsidRDefault="00FC75EA" w:rsidP="00FC75E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14:paraId="685E9164" w14:textId="1F98B4C0" w:rsidR="00A16E72" w:rsidRPr="00BC65AB" w:rsidRDefault="004F6667" w:rsidP="00EF798A">
      <w:pPr>
        <w:pStyle w:val="a3"/>
        <w:jc w:val="both"/>
        <w:outlineLvl w:val="0"/>
        <w:rPr>
          <w:szCs w:val="28"/>
        </w:rPr>
      </w:pPr>
      <w:r w:rsidRPr="00BC65AB">
        <w:rPr>
          <w:szCs w:val="28"/>
        </w:rPr>
        <w:t>Начальник</w:t>
      </w:r>
      <w:r w:rsidR="00E90F01" w:rsidRPr="00BC65AB">
        <w:rPr>
          <w:szCs w:val="28"/>
        </w:rPr>
        <w:t xml:space="preserve"> </w:t>
      </w:r>
      <w:r w:rsidR="00E90F01" w:rsidRPr="00BC65AB">
        <w:rPr>
          <w:szCs w:val="28"/>
        </w:rPr>
        <w:tab/>
      </w:r>
      <w:r w:rsidR="00E90F01" w:rsidRPr="00BC65AB">
        <w:rPr>
          <w:szCs w:val="28"/>
        </w:rPr>
        <w:tab/>
      </w:r>
      <w:r w:rsidR="00E90F01" w:rsidRPr="00BC65AB">
        <w:rPr>
          <w:szCs w:val="28"/>
        </w:rPr>
        <w:tab/>
      </w:r>
      <w:r w:rsidRPr="00BC65AB">
        <w:rPr>
          <w:szCs w:val="28"/>
        </w:rPr>
        <w:tab/>
      </w:r>
      <w:r w:rsidRPr="00BC65AB">
        <w:rPr>
          <w:szCs w:val="28"/>
        </w:rPr>
        <w:tab/>
      </w:r>
      <w:r w:rsidRPr="00BC65AB">
        <w:rPr>
          <w:szCs w:val="28"/>
        </w:rPr>
        <w:tab/>
      </w:r>
      <w:r w:rsidRPr="00BC65AB">
        <w:rPr>
          <w:szCs w:val="28"/>
        </w:rPr>
        <w:tab/>
      </w:r>
      <w:r w:rsidRPr="00BC65AB">
        <w:rPr>
          <w:szCs w:val="28"/>
        </w:rPr>
        <w:tab/>
        <w:t>Олексій ДРОЗДЕНКО</w:t>
      </w:r>
    </w:p>
    <w:sectPr w:rsidR="00A16E72" w:rsidRPr="00BC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8F3"/>
    <w:multiLevelType w:val="hybridMultilevel"/>
    <w:tmpl w:val="60CE1FD4"/>
    <w:lvl w:ilvl="0" w:tplc="12E680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65566DCF"/>
    <w:multiLevelType w:val="hybridMultilevel"/>
    <w:tmpl w:val="625CE5B2"/>
    <w:lvl w:ilvl="0" w:tplc="92DE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4032">
      <w:numFmt w:val="none"/>
      <w:lvlText w:val=""/>
      <w:lvlJc w:val="left"/>
      <w:pPr>
        <w:tabs>
          <w:tab w:val="num" w:pos="360"/>
        </w:tabs>
      </w:pPr>
    </w:lvl>
    <w:lvl w:ilvl="2" w:tplc="2960A946">
      <w:numFmt w:val="none"/>
      <w:lvlText w:val=""/>
      <w:lvlJc w:val="left"/>
      <w:pPr>
        <w:tabs>
          <w:tab w:val="num" w:pos="360"/>
        </w:tabs>
      </w:pPr>
    </w:lvl>
    <w:lvl w:ilvl="3" w:tplc="87960086">
      <w:numFmt w:val="none"/>
      <w:lvlText w:val=""/>
      <w:lvlJc w:val="left"/>
      <w:pPr>
        <w:tabs>
          <w:tab w:val="num" w:pos="360"/>
        </w:tabs>
      </w:pPr>
    </w:lvl>
    <w:lvl w:ilvl="4" w:tplc="90E290A2">
      <w:numFmt w:val="none"/>
      <w:lvlText w:val=""/>
      <w:lvlJc w:val="left"/>
      <w:pPr>
        <w:tabs>
          <w:tab w:val="num" w:pos="360"/>
        </w:tabs>
      </w:pPr>
    </w:lvl>
    <w:lvl w:ilvl="5" w:tplc="10A6F2BE">
      <w:numFmt w:val="none"/>
      <w:lvlText w:val=""/>
      <w:lvlJc w:val="left"/>
      <w:pPr>
        <w:tabs>
          <w:tab w:val="num" w:pos="360"/>
        </w:tabs>
      </w:pPr>
    </w:lvl>
    <w:lvl w:ilvl="6" w:tplc="E2D6B6D8">
      <w:numFmt w:val="none"/>
      <w:lvlText w:val=""/>
      <w:lvlJc w:val="left"/>
      <w:pPr>
        <w:tabs>
          <w:tab w:val="num" w:pos="360"/>
        </w:tabs>
      </w:pPr>
    </w:lvl>
    <w:lvl w:ilvl="7" w:tplc="03ECF404">
      <w:numFmt w:val="none"/>
      <w:lvlText w:val=""/>
      <w:lvlJc w:val="left"/>
      <w:pPr>
        <w:tabs>
          <w:tab w:val="num" w:pos="360"/>
        </w:tabs>
      </w:pPr>
    </w:lvl>
    <w:lvl w:ilvl="8" w:tplc="F43AFA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04C73"/>
    <w:rsid w:val="00023926"/>
    <w:rsid w:val="00025750"/>
    <w:rsid w:val="00093176"/>
    <w:rsid w:val="000961E3"/>
    <w:rsid w:val="000B0323"/>
    <w:rsid w:val="000B4076"/>
    <w:rsid w:val="000C5B4D"/>
    <w:rsid w:val="00104AFF"/>
    <w:rsid w:val="00111BEA"/>
    <w:rsid w:val="00116CCE"/>
    <w:rsid w:val="00193D06"/>
    <w:rsid w:val="001C71CF"/>
    <w:rsid w:val="00214A95"/>
    <w:rsid w:val="00247737"/>
    <w:rsid w:val="00266187"/>
    <w:rsid w:val="00272978"/>
    <w:rsid w:val="0027621B"/>
    <w:rsid w:val="002A09F0"/>
    <w:rsid w:val="002C72EA"/>
    <w:rsid w:val="003222E1"/>
    <w:rsid w:val="00337058"/>
    <w:rsid w:val="0034557E"/>
    <w:rsid w:val="00383218"/>
    <w:rsid w:val="003C5D6D"/>
    <w:rsid w:val="003C7B63"/>
    <w:rsid w:val="003E100D"/>
    <w:rsid w:val="003E3E60"/>
    <w:rsid w:val="003E4FAC"/>
    <w:rsid w:val="003E62E6"/>
    <w:rsid w:val="003F50C1"/>
    <w:rsid w:val="003F798B"/>
    <w:rsid w:val="00401454"/>
    <w:rsid w:val="004B099F"/>
    <w:rsid w:val="004F6667"/>
    <w:rsid w:val="0050472A"/>
    <w:rsid w:val="00554725"/>
    <w:rsid w:val="00556BC0"/>
    <w:rsid w:val="005613D4"/>
    <w:rsid w:val="00593940"/>
    <w:rsid w:val="005B65D7"/>
    <w:rsid w:val="006327CE"/>
    <w:rsid w:val="006361A9"/>
    <w:rsid w:val="00663688"/>
    <w:rsid w:val="00663BB7"/>
    <w:rsid w:val="006A2D52"/>
    <w:rsid w:val="006B6209"/>
    <w:rsid w:val="00714EBD"/>
    <w:rsid w:val="007562CE"/>
    <w:rsid w:val="00760E9D"/>
    <w:rsid w:val="007E6FC6"/>
    <w:rsid w:val="007F4DC0"/>
    <w:rsid w:val="00843355"/>
    <w:rsid w:val="00861AE4"/>
    <w:rsid w:val="00877397"/>
    <w:rsid w:val="00884663"/>
    <w:rsid w:val="008A1FA5"/>
    <w:rsid w:val="008E5088"/>
    <w:rsid w:val="008F2919"/>
    <w:rsid w:val="0090340B"/>
    <w:rsid w:val="00906296"/>
    <w:rsid w:val="00970F57"/>
    <w:rsid w:val="009A10E4"/>
    <w:rsid w:val="009D5C41"/>
    <w:rsid w:val="009F55D7"/>
    <w:rsid w:val="00A11523"/>
    <w:rsid w:val="00A16E72"/>
    <w:rsid w:val="00A37151"/>
    <w:rsid w:val="00AA1E01"/>
    <w:rsid w:val="00AD3A78"/>
    <w:rsid w:val="00AE7E3E"/>
    <w:rsid w:val="00B47A60"/>
    <w:rsid w:val="00BB652A"/>
    <w:rsid w:val="00BC65AB"/>
    <w:rsid w:val="00C01E53"/>
    <w:rsid w:val="00C02336"/>
    <w:rsid w:val="00C32D81"/>
    <w:rsid w:val="00CB2F8D"/>
    <w:rsid w:val="00CE3675"/>
    <w:rsid w:val="00CF039D"/>
    <w:rsid w:val="00D24C82"/>
    <w:rsid w:val="00D2770E"/>
    <w:rsid w:val="00D52A73"/>
    <w:rsid w:val="00D617ED"/>
    <w:rsid w:val="00DA7B0C"/>
    <w:rsid w:val="00DB14B1"/>
    <w:rsid w:val="00E15E5C"/>
    <w:rsid w:val="00E22AC5"/>
    <w:rsid w:val="00E74474"/>
    <w:rsid w:val="00E74D86"/>
    <w:rsid w:val="00E8444C"/>
    <w:rsid w:val="00E8613F"/>
    <w:rsid w:val="00E90F01"/>
    <w:rsid w:val="00EB256B"/>
    <w:rsid w:val="00EC7ACF"/>
    <w:rsid w:val="00ED0EB4"/>
    <w:rsid w:val="00EF798A"/>
    <w:rsid w:val="00F01E48"/>
    <w:rsid w:val="00F20C9B"/>
    <w:rsid w:val="00F254BF"/>
    <w:rsid w:val="00F82F15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E864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E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Шуліпа Ольга Василівна</cp:lastModifiedBy>
  <cp:revision>5</cp:revision>
  <cp:lastPrinted>2024-04-17T06:59:00Z</cp:lastPrinted>
  <dcterms:created xsi:type="dcterms:W3CDTF">2024-04-15T04:54:00Z</dcterms:created>
  <dcterms:modified xsi:type="dcterms:W3CDTF">2024-04-18T06:31:00Z</dcterms:modified>
</cp:coreProperties>
</file>