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2C" w:rsidRPr="00214B26" w:rsidRDefault="004C582C" w:rsidP="004C582C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4C582C" w:rsidRPr="008C3126" w:rsidRDefault="004C582C" w:rsidP="004C582C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4C582C" w:rsidRPr="008C3126" w:rsidRDefault="004C582C" w:rsidP="004C582C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4C582C" w:rsidRPr="008C3126" w:rsidRDefault="004C582C" w:rsidP="004C582C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C582C" w:rsidRPr="008C3126" w:rsidTr="00A4715E">
        <w:tc>
          <w:tcPr>
            <w:tcW w:w="4968" w:type="dxa"/>
          </w:tcPr>
          <w:p w:rsidR="004C582C" w:rsidRPr="008C3126" w:rsidRDefault="004C582C" w:rsidP="00DC4F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E446E">
              <w:rPr>
                <w:sz w:val="28"/>
                <w:szCs w:val="28"/>
                <w:lang w:val="uk-UA"/>
              </w:rPr>
              <w:t xml:space="preserve">   </w:t>
            </w:r>
            <w:r w:rsidR="00DC4FB0">
              <w:rPr>
                <w:sz w:val="28"/>
                <w:szCs w:val="28"/>
                <w:lang w:val="uk-UA"/>
              </w:rPr>
              <w:t>30.08.2019</w:t>
            </w:r>
            <w:r w:rsidR="001E446E">
              <w:rPr>
                <w:sz w:val="28"/>
                <w:szCs w:val="28"/>
                <w:lang w:val="uk-UA"/>
              </w:rPr>
              <w:t xml:space="preserve">    </w:t>
            </w:r>
            <w:r w:rsidR="00A127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1E446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C4FB0">
              <w:rPr>
                <w:sz w:val="28"/>
                <w:szCs w:val="28"/>
                <w:lang w:val="uk-UA"/>
              </w:rPr>
              <w:t>302-Р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4C582C" w:rsidRPr="008C3126" w:rsidTr="00A4715E">
        <w:tc>
          <w:tcPr>
            <w:tcW w:w="4968" w:type="dxa"/>
          </w:tcPr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582C" w:rsidRPr="00CB3FAE" w:rsidRDefault="004C582C" w:rsidP="004C582C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C582C" w:rsidRPr="008776DE" w:rsidTr="00A4715E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82C" w:rsidRPr="008776DE" w:rsidRDefault="004C582C" w:rsidP="00A471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 міста  з  велосипедного спорту</w:t>
            </w:r>
            <w:r w:rsidR="001E446E">
              <w:rPr>
                <w:b/>
                <w:sz w:val="28"/>
                <w:szCs w:val="28"/>
                <w:lang w:val="uk-UA"/>
              </w:rPr>
              <w:t xml:space="preserve"> на шосе </w:t>
            </w:r>
          </w:p>
        </w:tc>
      </w:tr>
    </w:tbl>
    <w:p w:rsidR="004C582C" w:rsidRPr="008C3126" w:rsidRDefault="004C582C" w:rsidP="004C582C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4C582C" w:rsidRPr="00DC4FB0" w:rsidTr="00A4715E">
        <w:trPr>
          <w:trHeight w:val="358"/>
        </w:trPr>
        <w:tc>
          <w:tcPr>
            <w:tcW w:w="9323" w:type="dxa"/>
          </w:tcPr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програму розвитку фізичної культури і спорту в місті Суми на 2019 – 2021 роки» (завдання 2 підпрограма 1)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4C582C" w:rsidRPr="00DC4FB0" w:rsidTr="00A4715E">
        <w:trPr>
          <w:trHeight w:val="342"/>
        </w:trPr>
        <w:tc>
          <w:tcPr>
            <w:tcW w:w="9323" w:type="dxa"/>
          </w:tcPr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82C" w:rsidRPr="008C3126" w:rsidTr="00A4715E">
        <w:trPr>
          <w:trHeight w:val="342"/>
        </w:trPr>
        <w:tc>
          <w:tcPr>
            <w:tcW w:w="9323" w:type="dxa"/>
          </w:tcPr>
          <w:p w:rsidR="004C582C" w:rsidRPr="008C3126" w:rsidRDefault="004C582C" w:rsidP="00A4715E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A8772B">
              <w:rPr>
                <w:sz w:val="28"/>
                <w:szCs w:val="28"/>
                <w:lang w:val="uk-UA"/>
              </w:rPr>
              <w:t xml:space="preserve">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1E446E"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 </w:t>
            </w:r>
            <w:r w:rsidR="001E446E">
              <w:rPr>
                <w:sz w:val="28"/>
                <w:szCs w:val="28"/>
                <w:lang w:val="uk-UA"/>
              </w:rPr>
              <w:t>14, 15 вересня 201</w:t>
            </w:r>
            <w:r>
              <w:rPr>
                <w:sz w:val="28"/>
                <w:szCs w:val="28"/>
                <w:lang w:val="uk-UA"/>
              </w:rPr>
              <w:t>9 року відкритий  чемпіонат міста з велосипедного спорту</w:t>
            </w:r>
            <w:r w:rsidR="001E446E">
              <w:rPr>
                <w:sz w:val="28"/>
                <w:szCs w:val="28"/>
                <w:lang w:val="uk-UA"/>
              </w:rPr>
              <w:t xml:space="preserve"> на шосе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82C" w:rsidRPr="00DC4FB0" w:rsidTr="00A4715E">
        <w:trPr>
          <w:trHeight w:val="342"/>
        </w:trPr>
        <w:tc>
          <w:tcPr>
            <w:tcW w:w="9323" w:type="dxa"/>
          </w:tcPr>
          <w:p w:rsidR="004C582C" w:rsidRPr="008C3126" w:rsidRDefault="004C582C" w:rsidP="00A4715E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E446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658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три тисячі шістсот п’ятдесят вісім)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80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(кошторис додається).</w:t>
            </w:r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82C" w:rsidRPr="00DC4FB0" w:rsidTr="00A4715E">
        <w:trPr>
          <w:trHeight w:val="342"/>
        </w:trPr>
        <w:tc>
          <w:tcPr>
            <w:tcW w:w="9323" w:type="dxa"/>
          </w:tcPr>
          <w:p w:rsidR="004C582C" w:rsidRDefault="004C582C" w:rsidP="00A4715E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446E" w:rsidRPr="00DC4FB0" w:rsidTr="00A4715E">
        <w:trPr>
          <w:trHeight w:val="342"/>
        </w:trPr>
        <w:tc>
          <w:tcPr>
            <w:tcW w:w="9323" w:type="dxa"/>
          </w:tcPr>
          <w:p w:rsidR="001E446E" w:rsidRDefault="001E446E" w:rsidP="001E446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</w:t>
            </w:r>
            <w:r w:rsidRPr="00F05E27">
              <w:rPr>
                <w:sz w:val="28"/>
                <w:szCs w:val="28"/>
                <w:lang w:val="uk-UA"/>
              </w:rPr>
              <w:t>Відділу з питань взаємодії з правоохоронними органами та оборонної роботи Сумської міської ради (</w:t>
            </w:r>
            <w:r>
              <w:rPr>
                <w:sz w:val="28"/>
                <w:szCs w:val="28"/>
                <w:lang w:val="uk-UA"/>
              </w:rPr>
              <w:t>Кононенко С.В.</w:t>
            </w:r>
            <w:r w:rsidRPr="00F05E27">
              <w:rPr>
                <w:sz w:val="28"/>
                <w:szCs w:val="28"/>
                <w:lang w:val="uk-UA"/>
              </w:rPr>
              <w:t>), Сумському відділу поліції ГУ</w:t>
            </w:r>
            <w:r>
              <w:rPr>
                <w:sz w:val="28"/>
                <w:szCs w:val="28"/>
                <w:lang w:val="uk-UA"/>
              </w:rPr>
              <w:t>НП</w:t>
            </w:r>
            <w:r w:rsidRPr="00F05E27">
              <w:rPr>
                <w:sz w:val="28"/>
                <w:szCs w:val="28"/>
                <w:lang w:val="uk-UA"/>
              </w:rPr>
              <w:t xml:space="preserve"> в Сумській області (Карабута П.І.) у межах повноважень забезпечити охорону громадського порядку під час проведення заход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F05E27">
              <w:rPr>
                <w:sz w:val="28"/>
                <w:szCs w:val="28"/>
                <w:lang w:val="uk-UA"/>
              </w:rPr>
              <w:t>.</w:t>
            </w:r>
          </w:p>
          <w:p w:rsidR="001E446E" w:rsidRDefault="001E446E" w:rsidP="001E446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1E446E" w:rsidRDefault="001E446E" w:rsidP="001E446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1E446E" w:rsidRPr="00F05E27" w:rsidRDefault="001E446E" w:rsidP="001E446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1E446E" w:rsidRDefault="001E446E" w:rsidP="001E446E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E446E" w:rsidRDefault="001E446E" w:rsidP="001E446E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E446E" w:rsidRPr="00F05E27" w:rsidRDefault="001E446E" w:rsidP="001E446E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446E" w:rsidRPr="001E446E" w:rsidTr="00A4715E">
        <w:trPr>
          <w:trHeight w:val="342"/>
        </w:trPr>
        <w:tc>
          <w:tcPr>
            <w:tcW w:w="9323" w:type="dxa"/>
          </w:tcPr>
          <w:p w:rsidR="001E446E" w:rsidRDefault="001E446E" w:rsidP="001E446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5. </w:t>
            </w:r>
            <w:r w:rsidRPr="00F05E27">
              <w:rPr>
                <w:sz w:val="28"/>
                <w:szCs w:val="28"/>
                <w:lang w:val="uk-UA"/>
              </w:rPr>
              <w:t xml:space="preserve">Управлінню патрульної поліції в </w:t>
            </w:r>
            <w:r>
              <w:rPr>
                <w:sz w:val="28"/>
                <w:szCs w:val="28"/>
                <w:lang w:val="uk-UA"/>
              </w:rPr>
              <w:t xml:space="preserve">Сумській області                          </w:t>
            </w:r>
            <w:r w:rsidRPr="00F05E27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Калюжний О.О.</w:t>
            </w:r>
            <w:r w:rsidRPr="00F05E27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перекрити рух транспорту </w:t>
            </w:r>
            <w:r w:rsidRPr="0020547B">
              <w:rPr>
                <w:sz w:val="28"/>
                <w:szCs w:val="28"/>
                <w:lang w:val="uk-UA"/>
              </w:rPr>
              <w:t xml:space="preserve">під час проведення </w:t>
            </w:r>
            <w:r>
              <w:rPr>
                <w:sz w:val="28"/>
                <w:szCs w:val="28"/>
                <w:lang w:val="uk-UA"/>
              </w:rPr>
              <w:t>чемпіонату 14 вересня 2019 року з 10.00 до 13.00 години по проспекту Шевченка                        від світлофора вул. Леваневського до св</w:t>
            </w:r>
            <w:r w:rsidR="002015B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тлофора перехрестя вулиц</w:t>
            </w:r>
            <w:r w:rsidR="002015B4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 xml:space="preserve"> Горького - Набережна р. Сумки. </w:t>
            </w:r>
          </w:p>
          <w:p w:rsidR="001E446E" w:rsidRPr="001E446E" w:rsidRDefault="001E446E" w:rsidP="001E446E">
            <w:pPr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E446E" w:rsidRPr="001E446E" w:rsidTr="00A4715E">
        <w:trPr>
          <w:trHeight w:val="342"/>
        </w:trPr>
        <w:tc>
          <w:tcPr>
            <w:tcW w:w="9323" w:type="dxa"/>
          </w:tcPr>
          <w:p w:rsidR="001E446E" w:rsidRPr="006334E8" w:rsidRDefault="001E446E" w:rsidP="001E446E">
            <w:pPr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6. </w:t>
            </w:r>
            <w:r w:rsidRPr="006334E8">
              <w:rPr>
                <w:sz w:val="28"/>
                <w:szCs w:val="28"/>
                <w:lang w:val="uk-UA"/>
              </w:rPr>
              <w:t>В</w:t>
            </w:r>
            <w:r w:rsidRPr="006334E8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ідділу транспорту, зв’язку та телекомунікаційних послуг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Сумської міської ради (Яковенко С.В.) </w:t>
            </w:r>
            <w:r w:rsidRPr="006334E8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забезпечити інформування надавачів послуг по перевезенню населення про 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перекриття</w:t>
            </w:r>
            <w:r w:rsidRPr="006334E8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руху автомобілів та громадського транспорту 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по проспекту Шевченка під час проведення чемпіонату</w:t>
            </w:r>
            <w:r w:rsidRPr="006334E8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</w:p>
          <w:p w:rsidR="001E446E" w:rsidRDefault="001E446E" w:rsidP="001E446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E446E" w:rsidRPr="008C3126" w:rsidTr="00A4715E">
        <w:trPr>
          <w:trHeight w:val="342"/>
        </w:trPr>
        <w:tc>
          <w:tcPr>
            <w:tcW w:w="9323" w:type="dxa"/>
          </w:tcPr>
          <w:p w:rsidR="001E446E" w:rsidRPr="008C3126" w:rsidRDefault="001E446E" w:rsidP="001E446E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 xml:space="preserve">Організацію виконання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1E446E" w:rsidRDefault="001E446E" w:rsidP="001E44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446E" w:rsidRDefault="001E446E" w:rsidP="001E44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446E" w:rsidRDefault="001E446E" w:rsidP="001E44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446E" w:rsidRPr="008C3126" w:rsidRDefault="001E446E" w:rsidP="001E44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446E" w:rsidRPr="008C3126" w:rsidTr="00A4715E">
        <w:trPr>
          <w:trHeight w:val="342"/>
        </w:trPr>
        <w:tc>
          <w:tcPr>
            <w:tcW w:w="9323" w:type="dxa"/>
          </w:tcPr>
          <w:p w:rsidR="001E446E" w:rsidRDefault="001E446E" w:rsidP="001E446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                                                                         О.М. Лисенко</w:t>
            </w:r>
          </w:p>
          <w:p w:rsidR="001E446E" w:rsidRDefault="001E446E" w:rsidP="001E44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446E" w:rsidRPr="008C3126" w:rsidRDefault="001E446E" w:rsidP="001E44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446E" w:rsidRPr="00A8772B" w:rsidTr="00A4715E">
        <w:trPr>
          <w:trHeight w:val="342"/>
        </w:trPr>
        <w:tc>
          <w:tcPr>
            <w:tcW w:w="9323" w:type="dxa"/>
          </w:tcPr>
          <w:p w:rsidR="001E446E" w:rsidRPr="00682637" w:rsidRDefault="001E446E" w:rsidP="001E446E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</w:t>
            </w:r>
            <w:r w:rsidRPr="00682637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1E446E" w:rsidRPr="00891DC7" w:rsidRDefault="001E446E" w:rsidP="001E446E">
            <w:pPr>
              <w:rPr>
                <w:sz w:val="27"/>
                <w:szCs w:val="27"/>
                <w:lang w:val="uk-UA"/>
              </w:rPr>
            </w:pPr>
            <w:r w:rsidRPr="00891DC7">
              <w:rPr>
                <w:sz w:val="27"/>
                <w:szCs w:val="27"/>
                <w:lang w:val="uk-UA"/>
              </w:rPr>
              <w:t>Розіслати: Мотречко В.В.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891DC7">
              <w:rPr>
                <w:sz w:val="27"/>
                <w:szCs w:val="27"/>
                <w:lang w:val="uk-UA"/>
              </w:rPr>
              <w:t xml:space="preserve">Костенко О.А., Липовій С.А., </w:t>
            </w:r>
            <w:r>
              <w:rPr>
                <w:sz w:val="27"/>
                <w:szCs w:val="27"/>
                <w:lang w:val="uk-UA"/>
              </w:rPr>
              <w:t>Обравіт Є.О.</w:t>
            </w:r>
            <w:r w:rsidR="00A8772B">
              <w:rPr>
                <w:sz w:val="27"/>
                <w:szCs w:val="27"/>
                <w:lang w:val="uk-UA"/>
              </w:rPr>
              <w:t>, Карабуті П.І., Кононенку С.В., Калюжному О.О., Яковенку С.В.</w:t>
            </w:r>
          </w:p>
        </w:tc>
      </w:tr>
    </w:tbl>
    <w:p w:rsidR="004C582C" w:rsidRDefault="004C582C" w:rsidP="004C582C">
      <w:pPr>
        <w:rPr>
          <w:sz w:val="28"/>
          <w:szCs w:val="28"/>
          <w:lang w:val="uk-UA"/>
        </w:rPr>
      </w:pPr>
    </w:p>
    <w:p w:rsidR="004C582C" w:rsidRDefault="004C582C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p w:rsidR="002015B4" w:rsidRDefault="002015B4" w:rsidP="004C582C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C582C" w:rsidRPr="008C3126" w:rsidTr="00A4715E">
        <w:tc>
          <w:tcPr>
            <w:tcW w:w="4642" w:type="dxa"/>
          </w:tcPr>
          <w:p w:rsidR="004C582C" w:rsidRPr="008C3126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C582C" w:rsidRPr="008C3126" w:rsidTr="00A4715E">
        <w:tc>
          <w:tcPr>
            <w:tcW w:w="4642" w:type="dxa"/>
          </w:tcPr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DC4FB0">
              <w:rPr>
                <w:sz w:val="28"/>
                <w:szCs w:val="28"/>
                <w:lang w:val="uk-UA"/>
              </w:rPr>
              <w:t>30.08.2019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C4FB0">
              <w:rPr>
                <w:sz w:val="28"/>
                <w:szCs w:val="28"/>
                <w:lang w:val="uk-UA"/>
              </w:rPr>
              <w:t>302-Р</w:t>
            </w:r>
            <w:bookmarkStart w:id="0" w:name="_GoBack"/>
            <w:bookmarkEnd w:id="0"/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582C" w:rsidRPr="0079490F" w:rsidRDefault="004C582C" w:rsidP="004C582C">
      <w:pPr>
        <w:pStyle w:val="4"/>
        <w:jc w:val="center"/>
        <w:rPr>
          <w:b/>
          <w:lang w:val="uk-UA"/>
        </w:rPr>
      </w:pPr>
      <w:r w:rsidRPr="0079490F">
        <w:rPr>
          <w:b/>
          <w:lang w:val="uk-UA"/>
        </w:rPr>
        <w:t>К О Ш Т О Р И С</w:t>
      </w:r>
    </w:p>
    <w:p w:rsidR="004C582C" w:rsidRDefault="004C582C" w:rsidP="004C582C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</w:t>
      </w:r>
    </w:p>
    <w:p w:rsidR="004C582C" w:rsidRDefault="004C582C" w:rsidP="004C58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з велосипедного спорту</w:t>
      </w:r>
      <w:r w:rsidR="002015B4">
        <w:rPr>
          <w:b/>
          <w:sz w:val="28"/>
          <w:szCs w:val="28"/>
          <w:lang w:val="uk-UA"/>
        </w:rPr>
        <w:t xml:space="preserve"> на шосе</w:t>
      </w:r>
    </w:p>
    <w:p w:rsidR="004C582C" w:rsidRPr="006C40EA" w:rsidRDefault="004C582C" w:rsidP="004C582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C582C" w:rsidRPr="0068696D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головний суддя, головний секретар</w:t>
            </w:r>
          </w:p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чол. х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дн.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10</w:t>
            </w:r>
            <w:r w:rsidRPr="0068696D">
              <w:rPr>
                <w:sz w:val="28"/>
                <w:szCs w:val="28"/>
                <w:lang w:val="uk-UA"/>
              </w:rPr>
              <w:t xml:space="preserve"> чол. х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дн.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2460</w:t>
            </w:r>
            <w:r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4,80</w:t>
            </w:r>
            <w:r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C582C" w:rsidRPr="0068696D" w:rsidTr="00A4715E">
        <w:tc>
          <w:tcPr>
            <w:tcW w:w="9343" w:type="dxa"/>
            <w:gridSpan w:val="3"/>
            <w:shd w:val="clear" w:color="auto" w:fill="auto"/>
          </w:tcPr>
          <w:p w:rsidR="004C582C" w:rsidRDefault="004C582C" w:rsidP="00A4715E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  <w:p w:rsidR="004C582C" w:rsidRDefault="004C582C" w:rsidP="00A4715E">
            <w:pPr>
              <w:rPr>
                <w:sz w:val="28"/>
                <w:szCs w:val="28"/>
                <w:lang w:val="uk-UA"/>
              </w:rPr>
            </w:pP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12 шт. х 3,00 грн.</w:t>
            </w:r>
          </w:p>
        </w:tc>
        <w:tc>
          <w:tcPr>
            <w:tcW w:w="720" w:type="dxa"/>
            <w:shd w:val="clear" w:color="auto" w:fill="auto"/>
          </w:tcPr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36,00 грн.</w:t>
            </w:r>
          </w:p>
        </w:tc>
      </w:tr>
      <w:tr w:rsidR="004C582C" w:rsidRPr="00476EAC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12 шт. х 35,00 грн.</w:t>
            </w:r>
          </w:p>
        </w:tc>
        <w:tc>
          <w:tcPr>
            <w:tcW w:w="720" w:type="dxa"/>
            <w:shd w:val="clear" w:color="auto" w:fill="auto"/>
          </w:tcPr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Pr="00476EAC" w:rsidRDefault="004C582C" w:rsidP="00A4715E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476EAC">
              <w:rPr>
                <w:sz w:val="28"/>
                <w:szCs w:val="28"/>
                <w:u w:val="single"/>
                <w:lang w:val="uk-UA"/>
              </w:rPr>
              <w:t>420,00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456,00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3658,80</w:t>
            </w:r>
            <w:r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Default="004C582C" w:rsidP="004C5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 тисячі шістсот п’ятдесят вісім грн. 80 коп.)</w:t>
      </w:r>
    </w:p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Pr="00BB7ACC" w:rsidRDefault="002015B4" w:rsidP="004C58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</w:t>
      </w:r>
      <w:r w:rsidR="004C582C">
        <w:rPr>
          <w:b/>
          <w:sz w:val="28"/>
          <w:szCs w:val="28"/>
          <w:lang w:val="uk-UA"/>
        </w:rPr>
        <w:t xml:space="preserve"> н</w:t>
      </w:r>
      <w:r w:rsidR="004C582C" w:rsidRPr="00BB7ACC">
        <w:rPr>
          <w:b/>
          <w:sz w:val="28"/>
          <w:szCs w:val="28"/>
          <w:lang w:val="uk-UA"/>
        </w:rPr>
        <w:t>ачальник</w:t>
      </w:r>
      <w:r w:rsidR="004C582C">
        <w:rPr>
          <w:b/>
          <w:sz w:val="28"/>
          <w:szCs w:val="28"/>
          <w:lang w:val="uk-UA"/>
        </w:rPr>
        <w:t>а</w:t>
      </w:r>
      <w:r w:rsidR="004C582C" w:rsidRPr="00BB7ACC">
        <w:rPr>
          <w:b/>
          <w:sz w:val="28"/>
          <w:szCs w:val="28"/>
          <w:lang w:val="uk-UA"/>
        </w:rPr>
        <w:t xml:space="preserve"> відділу </w:t>
      </w:r>
    </w:p>
    <w:p w:rsidR="004C582C" w:rsidRDefault="004C582C" w:rsidP="004C582C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2015B4">
        <w:rPr>
          <w:b/>
          <w:sz w:val="28"/>
          <w:szCs w:val="28"/>
          <w:lang w:val="uk-UA"/>
        </w:rPr>
        <w:t xml:space="preserve">     Є.О. Обравіт</w:t>
      </w:r>
      <w:r w:rsidRPr="00BB7ACC">
        <w:rPr>
          <w:b/>
          <w:sz w:val="28"/>
          <w:szCs w:val="28"/>
          <w:lang w:val="uk-UA"/>
        </w:rPr>
        <w:t xml:space="preserve"> </w:t>
      </w: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Default="002015B4" w:rsidP="004C582C">
      <w:pPr>
        <w:jc w:val="both"/>
        <w:rPr>
          <w:b/>
          <w:sz w:val="28"/>
          <w:szCs w:val="28"/>
          <w:lang w:val="uk-UA"/>
        </w:rPr>
      </w:pPr>
    </w:p>
    <w:p w:rsidR="002015B4" w:rsidRPr="005E4352" w:rsidRDefault="002015B4" w:rsidP="002015B4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/>
          <w:b w:val="0"/>
          <w:sz w:val="28"/>
          <w:szCs w:val="28"/>
        </w:rPr>
        <w:t>аступник н</w:t>
      </w:r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E4352">
        <w:rPr>
          <w:rFonts w:ascii="Times New Roman" w:hAnsi="Times New Roman"/>
          <w:b w:val="0"/>
          <w:sz w:val="28"/>
          <w:szCs w:val="28"/>
        </w:rPr>
        <w:t xml:space="preserve"> відділу </w:t>
      </w:r>
    </w:p>
    <w:p w:rsidR="002015B4" w:rsidRDefault="002015B4" w:rsidP="002015B4">
      <w:pPr>
        <w:jc w:val="both"/>
        <w:rPr>
          <w:sz w:val="28"/>
          <w:szCs w:val="28"/>
        </w:rPr>
      </w:pPr>
      <w:r w:rsidRPr="0029322A">
        <w:rPr>
          <w:sz w:val="28"/>
          <w:szCs w:val="28"/>
        </w:rPr>
        <w:t>у справах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Є.О. Обравіт</w:t>
      </w: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2015B4" w:rsidRPr="00DF0770" w:rsidRDefault="002015B4" w:rsidP="002015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В.В. Мотречко</w:t>
      </w: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відділу </w:t>
      </w: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голови, </w:t>
      </w: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2015B4" w:rsidRDefault="002015B4" w:rsidP="002015B4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2015B4" w:rsidRPr="002015B4" w:rsidRDefault="002015B4" w:rsidP="004C582C">
      <w:pPr>
        <w:jc w:val="both"/>
        <w:rPr>
          <w:b/>
          <w:sz w:val="28"/>
          <w:szCs w:val="28"/>
        </w:rPr>
      </w:pPr>
    </w:p>
    <w:p w:rsidR="00F6415E" w:rsidRPr="004C582C" w:rsidRDefault="00F6415E">
      <w:pPr>
        <w:rPr>
          <w:lang w:val="uk-UA"/>
        </w:rPr>
      </w:pPr>
    </w:p>
    <w:sectPr w:rsidR="00F6415E" w:rsidRPr="004C582C" w:rsidSect="00D130C1">
      <w:headerReference w:type="even" r:id="rId8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C2" w:rsidRDefault="00CF2CC2">
      <w:r>
        <w:separator/>
      </w:r>
    </w:p>
  </w:endnote>
  <w:endnote w:type="continuationSeparator" w:id="0">
    <w:p w:rsidR="00CF2CC2" w:rsidRDefault="00C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C2" w:rsidRDefault="00CF2CC2">
      <w:r>
        <w:separator/>
      </w:r>
    </w:p>
  </w:footnote>
  <w:footnote w:type="continuationSeparator" w:id="0">
    <w:p w:rsidR="00CF2CC2" w:rsidRDefault="00C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4C582C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DC4F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62"/>
    <w:rsid w:val="00191771"/>
    <w:rsid w:val="001E446E"/>
    <w:rsid w:val="002015B4"/>
    <w:rsid w:val="00464262"/>
    <w:rsid w:val="004C582C"/>
    <w:rsid w:val="00A127DF"/>
    <w:rsid w:val="00A8772B"/>
    <w:rsid w:val="00CF2CC2"/>
    <w:rsid w:val="00DC4FB0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046F"/>
  <w15:docId w15:val="{5302F5D2-5513-4282-A5F7-078B379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C582C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C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C58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C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4C582C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4C582C"/>
  </w:style>
  <w:style w:type="paragraph" w:customStyle="1" w:styleId="12">
    <w:name w:val="Знак Знак1 Знак Знак Знак Знак Знак Знак Знак Знак Знак"/>
    <w:basedOn w:val="a"/>
    <w:rsid w:val="001E446E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2015B4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5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5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2019-08-27T07:57:00Z</cp:lastPrinted>
  <dcterms:created xsi:type="dcterms:W3CDTF">2019-08-27T07:53:00Z</dcterms:created>
  <dcterms:modified xsi:type="dcterms:W3CDTF">2019-09-04T07:24:00Z</dcterms:modified>
</cp:coreProperties>
</file>