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52" w:rsidRDefault="00890B52">
      <w:pPr>
        <w:widowControl w:val="0"/>
      </w:pPr>
    </w:p>
    <w:tbl>
      <w:tblPr>
        <w:tblStyle w:val="a5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2"/>
      </w:tblGrid>
      <w:tr w:rsidR="00890B52">
        <w:trPr>
          <w:trHeight w:val="68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0B52" w:rsidRDefault="00890B52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0B52" w:rsidRDefault="00F34EF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90B52" w:rsidRDefault="00890B52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0B52" w:rsidRDefault="00890B52">
      <w:pPr>
        <w:tabs>
          <w:tab w:val="center" w:pos="4153"/>
          <w:tab w:val="right" w:pos="830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F34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РОЗПОРЯДЖЕННЯ</w:t>
      </w:r>
    </w:p>
    <w:p w:rsidR="00890B52" w:rsidRDefault="00F34EF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МІСЬКОГО ГОЛОВИ</w:t>
      </w:r>
    </w:p>
    <w:p w:rsidR="00890B52" w:rsidRDefault="00F34EF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tbl>
      <w:tblPr>
        <w:tblStyle w:val="a6"/>
        <w:tblW w:w="4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5"/>
      </w:tblGrid>
      <w:tr w:rsidR="00890B52">
        <w:trPr>
          <w:trHeight w:val="3260"/>
        </w:trPr>
        <w:tc>
          <w:tcPr>
            <w:tcW w:w="4005" w:type="dxa"/>
          </w:tcPr>
          <w:p w:rsidR="00890B52" w:rsidRPr="00F52A1B" w:rsidRDefault="00F34EF5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2A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07.08.2019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  </w:t>
            </w:r>
            <w:r w:rsidR="00F52A1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273-Р</w:t>
            </w:r>
          </w:p>
          <w:p w:rsidR="00890B52" w:rsidRDefault="00890B52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B52" w:rsidRDefault="00F34EF5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роботи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іноземного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експерта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зустрічей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забезпечення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належних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</w:t>
            </w:r>
          </w:p>
          <w:p w:rsidR="00890B52" w:rsidRDefault="00F34EF5">
            <w:pPr>
              <w:spacing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Суми</w:t>
            </w:r>
          </w:p>
        </w:tc>
      </w:tr>
    </w:tbl>
    <w:p w:rsidR="00890B52" w:rsidRDefault="00F34EF5">
      <w:pPr>
        <w:tabs>
          <w:tab w:val="left" w:pos="1455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організації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Польща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м. Суми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11 по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 листопада 2018 року № 4154-МР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Суми» на 2019-2021 роки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четвертої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90B52" w:rsidRDefault="00F34EF5" w:rsidP="00E41D31">
      <w:pPr>
        <w:numPr>
          <w:ilvl w:val="0"/>
          <w:numId w:val="1"/>
        </w:numPr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2027 року та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м. Суми секретаря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Баранова А.В.</w:t>
      </w:r>
    </w:p>
    <w:p w:rsidR="00890B52" w:rsidRDefault="00F34EF5" w:rsidP="00E41D31">
      <w:pPr>
        <w:numPr>
          <w:ilvl w:val="0"/>
          <w:numId w:val="1"/>
        </w:numPr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кошторис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організації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2027 року та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м. Суми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890B52" w:rsidRDefault="00F34EF5" w:rsidP="00E41D31">
      <w:pPr>
        <w:numPr>
          <w:ilvl w:val="0"/>
          <w:numId w:val="1"/>
        </w:numPr>
        <w:tabs>
          <w:tab w:val="left" w:pos="0"/>
          <w:tab w:val="left" w:pos="1276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(Кубрак О.М.)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0B52" w:rsidRDefault="00F34EF5">
      <w:pPr>
        <w:tabs>
          <w:tab w:val="left" w:pos="0"/>
          <w:tab w:val="left" w:pos="709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2027 року на весь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м.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планом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890B52" w:rsidRDefault="00F34EF5" w:rsidP="00E41D31">
      <w:pPr>
        <w:numPr>
          <w:ilvl w:val="0"/>
          <w:numId w:val="1"/>
        </w:numPr>
        <w:tabs>
          <w:tab w:val="left" w:pos="0"/>
          <w:tab w:val="left" w:pos="1276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господарських та загальних питань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Коцур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0B52" w:rsidRDefault="00F34EF5" w:rsidP="00E41D31">
      <w:pPr>
        <w:tabs>
          <w:tab w:val="left" w:pos="1276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11.08.2019 для забезпечення трансферу з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аеропорт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Жуляни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до м. Суми.</w:t>
      </w:r>
    </w:p>
    <w:p w:rsidR="00890B52" w:rsidRDefault="00F34EF5" w:rsidP="00E41D31">
      <w:pPr>
        <w:tabs>
          <w:tab w:val="left" w:pos="1276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14.08.2019 для забезпечення трансферу з м. Суми до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B52" w:rsidRDefault="00F34EF5" w:rsidP="00E41D31">
      <w:pPr>
        <w:numPr>
          <w:ilvl w:val="0"/>
          <w:numId w:val="1"/>
        </w:numPr>
        <w:tabs>
          <w:tab w:val="left" w:pos="0"/>
          <w:tab w:val="left" w:pos="1276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бухгалтерського обліку та звітності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(Костенко О.А.)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0B52" w:rsidRDefault="00F34EF5" w:rsidP="00E41D31">
      <w:pPr>
        <w:tabs>
          <w:tab w:val="left" w:pos="0"/>
          <w:tab w:val="left" w:pos="900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оплату послуг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весь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м. Суми.</w:t>
      </w:r>
    </w:p>
    <w:p w:rsidR="00890B52" w:rsidRDefault="00F34EF5" w:rsidP="00E41D31">
      <w:pPr>
        <w:tabs>
          <w:tab w:val="left" w:pos="0"/>
        </w:tabs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розрахунків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кошторисом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КПКВК 0217693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90B52" w:rsidRDefault="00F34EF5" w:rsidP="00E41D31">
      <w:pPr>
        <w:numPr>
          <w:ilvl w:val="0"/>
          <w:numId w:val="1"/>
        </w:numPr>
        <w:tabs>
          <w:tab w:val="left" w:pos="0"/>
          <w:tab w:val="left" w:pos="1276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комунікацій та інформаційної політики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А.І.)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ЗМІ інформації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Суми до 2027 року.</w:t>
      </w:r>
    </w:p>
    <w:p w:rsidR="00890B52" w:rsidRDefault="00F34EF5" w:rsidP="00E41D31">
      <w:pPr>
        <w:numPr>
          <w:ilvl w:val="0"/>
          <w:numId w:val="1"/>
        </w:numPr>
        <w:tabs>
          <w:tab w:val="left" w:pos="0"/>
          <w:tab w:val="left" w:pos="1276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секретаря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Баранова А.В.</w:t>
      </w:r>
    </w:p>
    <w:p w:rsidR="00890B52" w:rsidRDefault="00890B52">
      <w:pPr>
        <w:tabs>
          <w:tab w:val="left" w:pos="0"/>
          <w:tab w:val="left" w:pos="127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tabs>
          <w:tab w:val="left" w:pos="0"/>
          <w:tab w:val="left" w:pos="127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tabs>
          <w:tab w:val="left" w:pos="0"/>
          <w:tab w:val="left" w:pos="127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tabs>
          <w:tab w:val="left" w:pos="0"/>
          <w:tab w:val="left" w:pos="127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F34EF5">
      <w:pPr>
        <w:pStyle w:val="3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Сумський міський голова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О.М. Лисенко</w:t>
      </w: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F34EF5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Басанець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М.О. 701-576</w:t>
      </w: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Розіслати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Кубрак О.М., Костенко О.А.,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Липовій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А.І.,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Коцуру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М.В., Баранову А.В.</w:t>
      </w: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D31" w:rsidRDefault="00E41D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</w:t>
      </w: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                                                                  О.М. Кубрак</w:t>
      </w:r>
    </w:p>
    <w:p w:rsidR="00890B52" w:rsidRDefault="00F34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B52" w:rsidRDefault="00890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Баранов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0B52" w:rsidRDefault="00F34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B52" w:rsidRDefault="00890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протокольної </w:t>
      </w: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роботи та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Л.В. Моша</w:t>
      </w:r>
    </w:p>
    <w:p w:rsidR="00890B52" w:rsidRDefault="00890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B52" w:rsidRDefault="00F34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управління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890B52" w:rsidRDefault="00F34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90B52" w:rsidRDefault="00890B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0B52" w:rsidRDefault="00F34EF5">
      <w:pPr>
        <w:tabs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С.Я. Пак</w:t>
      </w: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4160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160"/>
      </w:tblGrid>
      <w:tr w:rsidR="00890B52">
        <w:trPr>
          <w:trHeight w:val="32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890B52" w:rsidRDefault="00890B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D31" w:rsidRDefault="00E41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90B52">
        <w:trPr>
          <w:trHeight w:val="1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890B52" w:rsidRDefault="00F34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</w:t>
            </w:r>
            <w:proofErr w:type="spellEnd"/>
          </w:p>
        </w:tc>
      </w:tr>
      <w:tr w:rsidR="00890B52">
        <w:trPr>
          <w:trHeight w:val="2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890B52" w:rsidRPr="00F52A1B" w:rsidRDefault="00F34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52A1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07.082.019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="00F52A1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</w:t>
            </w:r>
            <w:proofErr w:type="gramEnd"/>
            <w:r w:rsidR="00F52A1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-Р</w:t>
            </w:r>
          </w:p>
          <w:p w:rsidR="00890B52" w:rsidRDefault="00890B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0B52" w:rsidRDefault="00890B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52" w:rsidRDefault="00F34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Кошторис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організації роботи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іноземного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експерта</w:t>
      </w:r>
      <w:proofErr w:type="spellEnd"/>
    </w:p>
    <w:p w:rsidR="00890B52" w:rsidRDefault="00F34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зустрічей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обміну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 рамках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 Суми до 2027 року та забезпечення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належних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м. Суми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11 по 14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року</w:t>
      </w:r>
    </w:p>
    <w:p w:rsidR="00890B52" w:rsidRDefault="00890B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621" w:type="dxa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7373"/>
        <w:gridCol w:w="1481"/>
      </w:tblGrid>
      <w:tr w:rsidR="00890B52">
        <w:tc>
          <w:tcPr>
            <w:tcW w:w="767" w:type="dxa"/>
            <w:tcMar>
              <w:left w:w="100" w:type="dxa"/>
            </w:tcMar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передбачені</w:t>
            </w:r>
            <w:proofErr w:type="spellEnd"/>
          </w:p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КПКВК 0217693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заходи,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економічною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грн.</w:t>
            </w:r>
          </w:p>
        </w:tc>
      </w:tr>
      <w:tr w:rsidR="00890B52">
        <w:tc>
          <w:tcPr>
            <w:tcW w:w="767" w:type="dxa"/>
            <w:tcMar>
              <w:left w:w="100" w:type="dxa"/>
            </w:tcMar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890B52" w:rsidRDefault="00F34EF5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3.2.2.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3.2.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Суми» на 2019-2021 роки»,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листопада 2018 року № 4154 - МР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B52">
        <w:trPr>
          <w:trHeight w:val="640"/>
        </w:trPr>
        <w:tc>
          <w:tcPr>
            <w:tcW w:w="767" w:type="dxa"/>
            <w:tcMar>
              <w:left w:w="100" w:type="dxa"/>
            </w:tcMar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3" w:type="dxa"/>
            <w:tcMar>
              <w:left w:w="100" w:type="dxa"/>
            </w:tcMar>
          </w:tcPr>
          <w:p w:rsidR="00890B52" w:rsidRDefault="00F34EF5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Оплата послуг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сніданком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м. Суми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3932,61</w:t>
            </w:r>
          </w:p>
        </w:tc>
      </w:tr>
      <w:tr w:rsidR="00890B52">
        <w:trPr>
          <w:trHeight w:val="320"/>
        </w:trPr>
        <w:tc>
          <w:tcPr>
            <w:tcW w:w="767" w:type="dxa"/>
            <w:tcMar>
              <w:left w:w="100" w:type="dxa"/>
            </w:tcMar>
          </w:tcPr>
          <w:p w:rsidR="00890B52" w:rsidRDefault="00890B52">
            <w:pPr>
              <w:tabs>
                <w:tab w:val="left" w:pos="240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3" w:type="dxa"/>
            <w:tcMar>
              <w:left w:w="103" w:type="dxa"/>
            </w:tcMar>
          </w:tcPr>
          <w:p w:rsidR="00890B52" w:rsidRDefault="00F34EF5">
            <w:pPr>
              <w:tabs>
                <w:tab w:val="left" w:pos="2400"/>
              </w:tabs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481" w:type="dxa"/>
            <w:tcMar>
              <w:left w:w="100" w:type="dxa"/>
            </w:tcMar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3932,61</w:t>
            </w:r>
          </w:p>
        </w:tc>
      </w:tr>
    </w:tbl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бухгалтерського обліку та звітності</w:t>
      </w:r>
      <w:r w:rsidR="00E41D31">
        <w:rPr>
          <w:rFonts w:ascii="Times New Roman" w:eastAsia="Times New Roman" w:hAnsi="Times New Roman" w:cs="Times New Roman"/>
          <w:sz w:val="20"/>
          <w:szCs w:val="20"/>
        </w:rPr>
        <w:tab/>
      </w:r>
      <w:r w:rsidR="00E41D3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О.А. Костенко</w:t>
      </w:r>
    </w:p>
    <w:p w:rsidR="00890B52" w:rsidRDefault="00890B52">
      <w:pPr>
        <w:tabs>
          <w:tab w:val="left" w:pos="58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52" w:rsidRDefault="00890B52">
      <w:pPr>
        <w:tabs>
          <w:tab w:val="left" w:pos="58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52" w:rsidRDefault="00F34EF5">
      <w:pPr>
        <w:tabs>
          <w:tab w:val="left" w:pos="80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</w:p>
    <w:p w:rsidR="00890B52" w:rsidRDefault="00F34EF5">
      <w:pPr>
        <w:tabs>
          <w:tab w:val="left" w:pos="80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                                             </w:t>
      </w:r>
      <w:r w:rsidR="00E41D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О.М. Кубрак</w:t>
      </w:r>
    </w:p>
    <w:p w:rsidR="00890B52" w:rsidRDefault="00F34EF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4160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160"/>
      </w:tblGrid>
      <w:tr w:rsidR="00890B52">
        <w:trPr>
          <w:trHeight w:val="32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890B52" w:rsidRDefault="00890B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890B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D31" w:rsidRDefault="00E41D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890B52">
        <w:trPr>
          <w:trHeight w:val="1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890B52" w:rsidRDefault="00F34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розпорядження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</w:t>
            </w:r>
            <w:proofErr w:type="spellEnd"/>
          </w:p>
        </w:tc>
      </w:tr>
      <w:tr w:rsidR="00890B52">
        <w:trPr>
          <w:trHeight w:val="2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890B52" w:rsidRPr="00F52A1B" w:rsidRDefault="00F34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52A1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07.08.2019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№  </w:t>
            </w:r>
            <w:r w:rsidR="00F52A1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273-Р</w:t>
            </w:r>
          </w:p>
          <w:p w:rsidR="00890B52" w:rsidRDefault="00890B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0B52" w:rsidRDefault="00890B5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52" w:rsidRDefault="00890B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B52" w:rsidRDefault="00F34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графік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роботи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іноземного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експерта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зустрічей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обміну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досвідом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 рамках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розробки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 Суми до 2027 року</w:t>
      </w:r>
    </w:p>
    <w:p w:rsidR="00890B52" w:rsidRDefault="00F34E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м.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Суми  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 по 14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року</w:t>
      </w:r>
    </w:p>
    <w:p w:rsidR="00890B52" w:rsidRDefault="00890B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075"/>
      </w:tblGrid>
      <w:tr w:rsidR="00890B52">
        <w:trPr>
          <w:jc w:val="center"/>
        </w:trPr>
        <w:tc>
          <w:tcPr>
            <w:tcW w:w="2247" w:type="dxa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7075" w:type="dxa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</w:p>
        </w:tc>
      </w:tr>
      <w:tr w:rsidR="00890B52">
        <w:trPr>
          <w:trHeight w:val="480"/>
          <w:jc w:val="center"/>
        </w:trPr>
        <w:tc>
          <w:tcPr>
            <w:tcW w:w="2247" w:type="dxa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11.08.2019</w:t>
            </w:r>
          </w:p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890B52" w:rsidRDefault="00F34EF5">
            <w:pPr>
              <w:tabs>
                <w:tab w:val="left" w:pos="1276"/>
              </w:tabs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Трансфер з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м. Суми.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0B52" w:rsidRDefault="00890B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B52">
        <w:trPr>
          <w:trHeight w:val="740"/>
          <w:jc w:val="center"/>
        </w:trPr>
        <w:tc>
          <w:tcPr>
            <w:tcW w:w="2247" w:type="dxa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12.08.2019</w:t>
            </w:r>
          </w:p>
        </w:tc>
        <w:tc>
          <w:tcPr>
            <w:tcW w:w="7075" w:type="dxa"/>
          </w:tcPr>
          <w:p w:rsidR="00890B52" w:rsidRDefault="00F34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ради. </w:t>
            </w:r>
          </w:p>
        </w:tc>
      </w:tr>
      <w:tr w:rsidR="00890B52">
        <w:trPr>
          <w:trHeight w:val="1060"/>
          <w:jc w:val="center"/>
        </w:trPr>
        <w:tc>
          <w:tcPr>
            <w:tcW w:w="2247" w:type="dxa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13.08.2019</w:t>
            </w:r>
          </w:p>
          <w:p w:rsidR="00890B52" w:rsidRDefault="00F34E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10:00 до 12:00</w:t>
            </w:r>
          </w:p>
        </w:tc>
        <w:tc>
          <w:tcPr>
            <w:tcW w:w="7075" w:type="dxa"/>
          </w:tcPr>
          <w:p w:rsidR="00890B52" w:rsidRDefault="00F34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Конгрес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депутатами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ради. </w:t>
            </w:r>
          </w:p>
        </w:tc>
      </w:tr>
      <w:tr w:rsidR="00890B52">
        <w:trPr>
          <w:trHeight w:val="1740"/>
          <w:jc w:val="center"/>
        </w:trPr>
        <w:tc>
          <w:tcPr>
            <w:tcW w:w="2247" w:type="dxa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13.08.2019</w:t>
            </w:r>
          </w:p>
          <w:p w:rsidR="00890B52" w:rsidRDefault="00F34EF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14:00 до 18:00</w:t>
            </w:r>
          </w:p>
          <w:p w:rsidR="00890B52" w:rsidRDefault="00890B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B52" w:rsidRDefault="00890B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B52" w:rsidRDefault="00890B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890B52" w:rsidRDefault="00F34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Конгрес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Workshop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всіма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цільовими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мешканці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90B52">
        <w:trPr>
          <w:trHeight w:val="520"/>
          <w:jc w:val="center"/>
        </w:trPr>
        <w:tc>
          <w:tcPr>
            <w:tcW w:w="2247" w:type="dxa"/>
          </w:tcPr>
          <w:p w:rsidR="00890B52" w:rsidRDefault="00F34E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14.08.2019</w:t>
            </w:r>
          </w:p>
        </w:tc>
        <w:tc>
          <w:tcPr>
            <w:tcW w:w="7075" w:type="dxa"/>
          </w:tcPr>
          <w:p w:rsidR="00890B52" w:rsidRDefault="00F34E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Від’їзд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0B52" w:rsidRDefault="00890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tabs>
          <w:tab w:val="left" w:pos="19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F34EF5">
      <w:pPr>
        <w:tabs>
          <w:tab w:val="left" w:pos="6975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управління </w:t>
      </w:r>
    </w:p>
    <w:p w:rsidR="00890B52" w:rsidRDefault="00F34EF5">
      <w:pPr>
        <w:tabs>
          <w:tab w:val="left" w:pos="69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О.М. Кубрак</w:t>
      </w:r>
    </w:p>
    <w:p w:rsidR="00890B52" w:rsidRDefault="00890B52">
      <w:pPr>
        <w:tabs>
          <w:tab w:val="left" w:pos="697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B52" w:rsidRDefault="00890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52" w:rsidRDefault="00890B52"/>
    <w:sectPr w:rsidR="00890B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49F7"/>
    <w:multiLevelType w:val="multilevel"/>
    <w:tmpl w:val="B1B4DF6A"/>
    <w:lvl w:ilvl="0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52"/>
    <w:rsid w:val="00890B52"/>
    <w:rsid w:val="00E41D31"/>
    <w:rsid w:val="00F34EF5"/>
    <w:rsid w:val="00F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A8D0"/>
  <w15:docId w15:val="{A20AC72E-366F-4743-8B4C-1436835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Закревська Тетяна Дмитрівна</dc:creator>
  <cp:lastModifiedBy>Тарасенко Євгенія Олександрівна</cp:lastModifiedBy>
  <cp:revision>3</cp:revision>
  <dcterms:created xsi:type="dcterms:W3CDTF">2019-08-06T07:33:00Z</dcterms:created>
  <dcterms:modified xsi:type="dcterms:W3CDTF">2019-08-07T12:23:00Z</dcterms:modified>
</cp:coreProperties>
</file>