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F9390C" w:rsidRPr="00420874" w:rsidTr="00CE0D9E">
        <w:trPr>
          <w:trHeight w:val="999"/>
        </w:trPr>
        <w:tc>
          <w:tcPr>
            <w:tcW w:w="4448" w:type="dxa"/>
            <w:shd w:val="clear" w:color="auto" w:fill="auto"/>
          </w:tcPr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08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2087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29F41E2" wp14:editId="32AF370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F9390C" w:rsidRPr="00420874" w:rsidRDefault="00F9390C" w:rsidP="00C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9390C" w:rsidRPr="00420874" w:rsidRDefault="00F9390C" w:rsidP="00F93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val="uk-UA" w:eastAsia="ru-RU"/>
        </w:rPr>
      </w:pPr>
    </w:p>
    <w:p w:rsidR="00F9390C" w:rsidRPr="00420874" w:rsidRDefault="00F9390C" w:rsidP="00F93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42087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F9390C" w:rsidRPr="00420874" w:rsidRDefault="00F9390C" w:rsidP="00F93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42087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F9390C" w:rsidRPr="00420874" w:rsidRDefault="00F9390C" w:rsidP="00F9390C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2087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F9390C" w:rsidRPr="00420874" w:rsidRDefault="00F9390C" w:rsidP="00F9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9390C" w:rsidRPr="00420874" w:rsidTr="00CE0D9E">
        <w:tc>
          <w:tcPr>
            <w:tcW w:w="4928" w:type="dxa"/>
          </w:tcPr>
          <w:p w:rsidR="00F9390C" w:rsidRPr="00420874" w:rsidRDefault="00F9390C" w:rsidP="0042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420874" w:rsidRPr="0042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22.02.2024</w:t>
            </w:r>
            <w:r w:rsidRPr="0042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420874" w:rsidRPr="0042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  <w:r w:rsidRPr="00420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390C" w:rsidRPr="00420874" w:rsidTr="00CE0D9E">
        <w:tc>
          <w:tcPr>
            <w:tcW w:w="4928" w:type="dxa"/>
          </w:tcPr>
          <w:p w:rsidR="00F9390C" w:rsidRPr="00420874" w:rsidRDefault="00F9390C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390C" w:rsidRPr="00420874" w:rsidTr="00CE0D9E">
        <w:tc>
          <w:tcPr>
            <w:tcW w:w="4928" w:type="dxa"/>
          </w:tcPr>
          <w:p w:rsidR="00F9390C" w:rsidRPr="00420874" w:rsidRDefault="00F9390C" w:rsidP="00CE0D9E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CE0D9E" w:rsidRPr="00420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впровадження загальної адміністративної процедури</w:t>
            </w:r>
            <w:r w:rsidRPr="00420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 виконавчих органах Сумської міської ради</w:t>
            </w:r>
          </w:p>
          <w:p w:rsidR="00F9390C" w:rsidRPr="00420874" w:rsidRDefault="00F9390C" w:rsidP="00CE0D9E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9390C" w:rsidRPr="00420874" w:rsidRDefault="00B87281" w:rsidP="00F9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20874">
        <w:rPr>
          <w:rFonts w:ascii="Times New Roman" w:hAnsi="Times New Roman" w:cs="Times New Roman"/>
          <w:sz w:val="28"/>
          <w:lang w:val="uk-UA"/>
        </w:rPr>
        <w:t xml:space="preserve">З метою належної організації адміністративного провадження </w:t>
      </w:r>
      <w:r w:rsidR="00DD0FB8" w:rsidRPr="00420874">
        <w:rPr>
          <w:rFonts w:ascii="Times New Roman" w:hAnsi="Times New Roman" w:cs="Times New Roman"/>
          <w:sz w:val="28"/>
          <w:lang w:val="uk-UA"/>
        </w:rPr>
        <w:t xml:space="preserve">виконавчими </w:t>
      </w:r>
      <w:r w:rsidR="00C07A6F" w:rsidRPr="00420874">
        <w:rPr>
          <w:rFonts w:ascii="Times New Roman" w:hAnsi="Times New Roman" w:cs="Times New Roman"/>
          <w:sz w:val="28"/>
          <w:lang w:val="uk-UA"/>
        </w:rPr>
        <w:t>органами Сумської міської ради</w:t>
      </w:r>
      <w:r w:rsidR="002172EC" w:rsidRPr="00420874">
        <w:rPr>
          <w:rFonts w:ascii="Times New Roman" w:hAnsi="Times New Roman" w:cs="Times New Roman"/>
          <w:sz w:val="28"/>
          <w:lang w:val="uk-UA"/>
        </w:rPr>
        <w:t>,</w:t>
      </w:r>
      <w:r w:rsidR="00C07A6F" w:rsidRPr="00420874">
        <w:rPr>
          <w:rFonts w:ascii="Times New Roman" w:hAnsi="Times New Roman" w:cs="Times New Roman"/>
          <w:sz w:val="28"/>
          <w:lang w:val="uk-UA"/>
        </w:rPr>
        <w:t xml:space="preserve"> у з</w:t>
      </w:r>
      <w:r w:rsidR="002172EC" w:rsidRPr="00420874">
        <w:rPr>
          <w:rFonts w:ascii="Times New Roman" w:hAnsi="Times New Roman" w:cs="Times New Roman"/>
          <w:sz w:val="28"/>
          <w:lang w:val="uk-UA"/>
        </w:rPr>
        <w:t xml:space="preserve">в’язку з набранням чинності </w:t>
      </w:r>
      <w:r w:rsidR="00F9390C" w:rsidRPr="00420874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172E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F9390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</w:t>
      </w:r>
      <w:r w:rsidR="00F9390C" w:rsidRPr="004208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адміністративну процедуру»</w:t>
      </w:r>
      <w:r w:rsidR="00F9390C" w:rsidRPr="00420874">
        <w:rPr>
          <w:rFonts w:ascii="Times New Roman" w:hAnsi="Times New Roman" w:cs="Times New Roman"/>
          <w:sz w:val="28"/>
          <w:lang w:val="uk-UA"/>
        </w:rPr>
        <w:t xml:space="preserve">, </w:t>
      </w:r>
      <w:r w:rsidR="002172EC" w:rsidRPr="00420874">
        <w:rPr>
          <w:rFonts w:ascii="Times New Roman" w:hAnsi="Times New Roman" w:cs="Times New Roman"/>
          <w:sz w:val="28"/>
          <w:lang w:val="uk-UA"/>
        </w:rPr>
        <w:t xml:space="preserve">відповідно до частини другої статті </w:t>
      </w:r>
      <w:r w:rsidR="002172EC"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Закону України «Про адміністративну процедуру», </w:t>
      </w:r>
      <w:r w:rsidR="00DD0FB8" w:rsidRPr="00420874">
        <w:rPr>
          <w:rFonts w:ascii="Times New Roman" w:hAnsi="Times New Roman" w:cs="Times New Roman"/>
          <w:sz w:val="28"/>
          <w:lang w:val="uk-UA"/>
        </w:rPr>
        <w:t xml:space="preserve">частини другої статті 54 та </w:t>
      </w:r>
      <w:r w:rsidR="002172EC" w:rsidRPr="00420874">
        <w:rPr>
          <w:rFonts w:ascii="Times New Roman" w:hAnsi="Times New Roman" w:cs="Times New Roman"/>
          <w:sz w:val="28"/>
          <w:lang w:val="uk-UA"/>
        </w:rPr>
        <w:t xml:space="preserve">керуючись </w:t>
      </w:r>
      <w:r w:rsidR="00DD0FB8"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2 частини другої статті 52</w:t>
      </w:r>
      <w:r w:rsidR="00F9390C"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F9390C" w:rsidRPr="004208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13AF1" w:rsidRPr="004208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</w:t>
      </w:r>
      <w:r w:rsidR="00F9390C" w:rsidRPr="004208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иконавчий комітет Сумської міської ради </w:t>
      </w:r>
    </w:p>
    <w:p w:rsidR="00F9390C" w:rsidRPr="00420874" w:rsidRDefault="00F9390C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390C" w:rsidRPr="00420874" w:rsidRDefault="00F9390C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F9390C" w:rsidRPr="00420874" w:rsidRDefault="00F9390C" w:rsidP="00F9390C">
      <w:pPr>
        <w:rPr>
          <w:lang w:val="uk-UA"/>
        </w:rPr>
      </w:pPr>
    </w:p>
    <w:p w:rsidR="00B00975" w:rsidRPr="00420874" w:rsidRDefault="00F9390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FB8" w:rsidRPr="00420874"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виконавчих органів Сумської міської ради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>, а також керівників комунальних підприємств, установ, організацій Сумської міської територіальної громади, на які покладено функції публічної адміністрації,</w:t>
      </w:r>
      <w:r w:rsidR="00DD0FB8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розподілом 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2172E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FB8" w:rsidRPr="00420874">
        <w:rPr>
          <w:rFonts w:ascii="Times New Roman" w:hAnsi="Times New Roman" w:cs="Times New Roman"/>
          <w:sz w:val="28"/>
          <w:szCs w:val="28"/>
          <w:lang w:val="uk-UA"/>
        </w:rPr>
        <w:t>проводити всі процедурні дії</w:t>
      </w:r>
      <w:r w:rsidR="00B0097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по адміністративних справах</w:t>
      </w:r>
      <w:r w:rsidR="00BF7E26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BF7E26"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адміністративну процедуру», </w:t>
      </w:r>
      <w:r w:rsidR="00B00975" w:rsidRPr="00420874">
        <w:rPr>
          <w:rFonts w:ascii="Times New Roman" w:hAnsi="Times New Roman" w:cs="Times New Roman"/>
          <w:sz w:val="28"/>
          <w:szCs w:val="28"/>
          <w:lang w:val="uk-UA"/>
        </w:rPr>
        <w:t>вирішення яких віднесено до відання Виконавчого комітету Сумської міської ради.</w:t>
      </w:r>
      <w:r w:rsidR="00DD0FB8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15AD" w:rsidRPr="00420874" w:rsidRDefault="00B00975" w:rsidP="00FE07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організаційно-кадрової роботи </w:t>
      </w:r>
      <w:r w:rsidR="00E72F54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>Купрієнко</w:t>
      </w:r>
      <w:proofErr w:type="spellEnd"/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81566D" w:rsidRPr="0042087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>), к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>ерівникам виконавчих органів Сумської міської ради</w:t>
      </w:r>
      <w:r w:rsidR="00FE0760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рофесійне навчання </w:t>
      </w:r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>. шляхом самоосвіти) посадових осіб Сумської міської ради</w:t>
      </w:r>
      <w:r w:rsidR="007C744E" w:rsidRPr="00420874">
        <w:rPr>
          <w:rFonts w:ascii="Times New Roman" w:hAnsi="Times New Roman" w:cs="Times New Roman"/>
          <w:sz w:val="28"/>
          <w:szCs w:val="28"/>
          <w:lang w:val="uk-UA"/>
        </w:rPr>
        <w:t>, членів Виконавчого комітету Сумської міської ради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>з питань загальної адміністративної процедури.</w:t>
      </w:r>
    </w:p>
    <w:p w:rsidR="00FE0760" w:rsidRPr="00420874" w:rsidRDefault="00FE0760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виконавчих органів Сумської міської ради, комунальних підприємств, установ, організацій Сумської міської територіальної громади, на які покладено функції публічної адміністрації:</w:t>
      </w:r>
    </w:p>
    <w:p w:rsidR="002815AD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підготовку </w:t>
      </w:r>
      <w:proofErr w:type="spellStart"/>
      <w:r w:rsidRPr="0042087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AD" w:rsidRPr="00420874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 Сумської міської ради, які є адміністративними актами, згідно з вимогами Закону України «Про адміністративну процедуру».</w:t>
      </w:r>
    </w:p>
    <w:p w:rsidR="00834371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371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Бути присутнім на засіданні Виконавчого комітету Сумської міської ради з визначених у пункті 1 </w:t>
      </w:r>
      <w:r w:rsidR="00BF7E26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34371" w:rsidRPr="00420874">
        <w:rPr>
          <w:rFonts w:ascii="Times New Roman" w:hAnsi="Times New Roman" w:cs="Times New Roman"/>
          <w:sz w:val="28"/>
          <w:szCs w:val="28"/>
          <w:lang w:val="uk-UA"/>
        </w:rPr>
        <w:t>рішення питань</w:t>
      </w:r>
      <w:r w:rsidR="00CE0D9E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4371" w:rsidRPr="00420874">
        <w:rPr>
          <w:rFonts w:ascii="Times New Roman" w:hAnsi="Times New Roman" w:cs="Times New Roman"/>
          <w:sz w:val="28"/>
          <w:szCs w:val="28"/>
          <w:lang w:val="uk-UA"/>
        </w:rPr>
        <w:t>інформувати про результати розгляду адміністративної справи</w:t>
      </w:r>
      <w:r w:rsidR="00CE0D9E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, запрошувати у визначених законом випадках </w:t>
      </w:r>
      <w:r w:rsidR="00CE0D9E" w:rsidRPr="00420874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учасників адміністративного провадження на засідання Виконавчого комітету Сумської міської ради</w:t>
      </w:r>
      <w:r w:rsidR="00834371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3AF1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A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4F237A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бланків заяв (скарг), формулярів адміністративного провадження, інформаційних та технологічних карток адміністративних послуг, нормативно-правових актів органів місцевого самоврядування за напрямом діяльності у відповідність до вимог Закону України «Про адміністративну процедуру», організувати </w:t>
      </w:r>
      <w:r w:rsidR="002172EC" w:rsidRPr="0042087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4F237A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інших заходів</w:t>
      </w:r>
      <w:r w:rsidR="002172E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адміністративної процедури у роботу підпорядкованого адміністративного органу згідно з примірним переліком (дода</w:t>
      </w:r>
      <w:r w:rsidR="00312F73" w:rsidRPr="0042087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2172EC" w:rsidRPr="004208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237A" w:rsidRPr="00420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BE5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E30" w:rsidRPr="00420874">
        <w:rPr>
          <w:rFonts w:ascii="Times New Roman" w:hAnsi="Times New Roman" w:cs="Times New Roman"/>
          <w:sz w:val="28"/>
          <w:szCs w:val="28"/>
          <w:lang w:val="uk-UA"/>
        </w:rPr>
        <w:t>Протягом десяти робочих днів з моменту прийняття рішення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надати письмові пропозиції</w:t>
      </w:r>
      <w:r w:rsidR="005C5E30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085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3.4.1.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08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організаційно-кадрової роботи Сумської міської ради щодо кандидатур (ПІБ, посада) осіб для включення до робочої групи з питань впровадження загальної адміністративної процедури </w:t>
      </w:r>
      <w:r w:rsidR="00377988" w:rsidRPr="004208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708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органах </w:t>
      </w:r>
      <w:r w:rsidR="0035334B" w:rsidRPr="0042087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Сумської міської територіальної громади</w:t>
      </w:r>
      <w:r w:rsidR="00997085" w:rsidRPr="00420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BE5" w:rsidRPr="00420874" w:rsidRDefault="00997085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3.4.2.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>Відділу протокольної роботи та контролю Сумської міської ради д</w:t>
      </w:r>
      <w:r w:rsidR="002C2CBB" w:rsidRPr="00420874">
        <w:rPr>
          <w:rFonts w:ascii="Times New Roman" w:hAnsi="Times New Roman" w:cs="Times New Roman"/>
          <w:sz w:val="28"/>
          <w:szCs w:val="28"/>
          <w:lang w:val="uk-UA"/>
        </w:rPr>
        <w:t>ля підготовки проєкту рішення щодо внесення змін до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</w:t>
      </w:r>
      <w:r w:rsidR="00CB349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виконавчих органів Сумської міської ради 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та Інструкції з діловодства у виконавчих органах Сумської міської ради </w:t>
      </w:r>
      <w:r w:rsidR="002C2CBB" w:rsidRPr="00420874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2424ED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адміністративної процедури та 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>взаємодії з Сумською міською військовою адміністрацією Сумського району Сумської області у частині правонаступництв</w:t>
      </w:r>
      <w:r w:rsidR="002C2CBB" w:rsidRPr="00420874">
        <w:rPr>
          <w:rFonts w:ascii="Times New Roman" w:hAnsi="Times New Roman" w:cs="Times New Roman"/>
          <w:sz w:val="28"/>
          <w:szCs w:val="28"/>
          <w:lang w:val="uk-UA"/>
        </w:rPr>
        <w:t>а адміністративного органу.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4ED" w:rsidRPr="00420874" w:rsidRDefault="008351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997085" w:rsidRPr="0042087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>Правово</w:t>
      </w:r>
      <w:r w:rsidR="005C5E30" w:rsidRPr="00420874">
        <w:rPr>
          <w:rFonts w:ascii="Times New Roman" w:hAnsi="Times New Roman" w:cs="Times New Roman"/>
          <w:sz w:val="28"/>
          <w:szCs w:val="28"/>
          <w:lang w:val="uk-UA"/>
        </w:rPr>
        <w:t>го управління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щодо</w:t>
      </w:r>
      <w:r w:rsidR="00713AF1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переліку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актів</w:t>
      </w:r>
      <w:r w:rsidR="006946F2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 діяльності</w:t>
      </w:r>
      <w:r w:rsidR="000A1BE5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AF1" w:rsidRPr="00420874">
        <w:rPr>
          <w:rFonts w:ascii="Times New Roman" w:hAnsi="Times New Roman" w:cs="Times New Roman"/>
          <w:sz w:val="28"/>
          <w:szCs w:val="28"/>
          <w:lang w:val="uk-UA"/>
        </w:rPr>
        <w:t>які можуть бути оскаржені в адміністративному порядку до Виконавчого комітету Сумської міської ради, та кандидатур (ПІБ, посада) осіб для включення до комісії з розгляду скарг при Виконавчому комітеті Сумської міської ради</w:t>
      </w:r>
      <w:r w:rsidR="002C2CBB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</w:t>
      </w:r>
      <w:r w:rsidR="006946F2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</w:t>
      </w:r>
      <w:r w:rsidR="002C2CBB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 про комісію з розгляду скарг.</w:t>
      </w:r>
    </w:p>
    <w:p w:rsidR="00DD6634" w:rsidRPr="00420874" w:rsidRDefault="00DD6634" w:rsidP="00DD663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8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Визначити керівників виконавчих органів Сумської міської ради, комунальних підприємств, установ та організацій 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громади, на які покладено функції публічної адміністрації, відповідальними за організацію впровадження загальної адміністративної процедури у підпорядкованих ними адміністративних органах, а заступник</w:t>
      </w:r>
      <w:r w:rsidR="009E1CD6" w:rsidRPr="00420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згідно з розподіл</w:t>
      </w:r>
      <w:r w:rsidR="009E1CD6" w:rsidRPr="004208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– за загальну координацію впровадження загальної адміністративної процедури у виконавчих органах та </w:t>
      </w:r>
      <w:proofErr w:type="spellStart"/>
      <w:r w:rsidRPr="00420874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FB6EE6" w:rsidRPr="00420874" w:rsidRDefault="00FB6EE6" w:rsidP="00FB6EE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муніципальної безпеки Сумської міської ради                 (Кононенко С.В.) забезпечити розгляд та вирішення адміністративної справи Виконавчим комітетом Сумської міської ради під зовнішнім контролем </w:t>
      </w:r>
      <w:r w:rsidR="00377988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запобігання корупції» 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>у випадках і порядку, визначених законом.</w:t>
      </w:r>
    </w:p>
    <w:p w:rsidR="0034442E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72F54" w:rsidRPr="004208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72F54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публічної інформації Сумської міської ради (Гонтар О.П.), Управлінню </w:t>
      </w:r>
      <w:r w:rsidR="0083515C" w:rsidRPr="004208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2F54" w:rsidRPr="00420874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83515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у м. Суми» Сумської міської ради (</w:t>
      </w:r>
      <w:proofErr w:type="spellStart"/>
      <w:r w:rsidR="0083515C" w:rsidRPr="00420874">
        <w:rPr>
          <w:rFonts w:ascii="Times New Roman" w:hAnsi="Times New Roman" w:cs="Times New Roman"/>
          <w:sz w:val="28"/>
          <w:szCs w:val="28"/>
          <w:lang w:val="uk-UA"/>
        </w:rPr>
        <w:t>Стрижова</w:t>
      </w:r>
      <w:proofErr w:type="spellEnd"/>
      <w:r w:rsidR="0083515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А.В.)</w:t>
      </w:r>
      <w:r w:rsidR="0034442E" w:rsidRPr="00420874">
        <w:rPr>
          <w:rFonts w:ascii="Times New Roman" w:hAnsi="Times New Roman" w:cs="Times New Roman"/>
          <w:sz w:val="28"/>
          <w:szCs w:val="28"/>
          <w:lang w:val="uk-UA"/>
        </w:rPr>
        <w:t>, ін</w:t>
      </w:r>
      <w:r w:rsidR="00D35BE3" w:rsidRPr="00420874">
        <w:rPr>
          <w:rFonts w:ascii="Times New Roman" w:hAnsi="Times New Roman" w:cs="Times New Roman"/>
          <w:sz w:val="28"/>
          <w:szCs w:val="28"/>
          <w:lang w:val="uk-UA"/>
        </w:rPr>
        <w:t>шим</w:t>
      </w:r>
      <w:r w:rsidR="0034442E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органам Сумської міської ради, на які покладено функцію реєстрації заяв фізичних та юридичних осіб:</w:t>
      </w:r>
    </w:p>
    <w:p w:rsidR="001878D7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D35BE3" w:rsidRPr="00420874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D35BE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реєстрацію заяв (скарг) адміністративного провадження, 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на вимогу заявника видавати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письмов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реєстрації заяви із зазначенням дати та номера реєстрації, негайного надсила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поштову адресу виконавчого органу Сумської міської ради згідно з пунктом 1 </w:t>
      </w:r>
      <w:r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>рішення електронн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у копію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заяви (скарги) з усіма додатками.</w:t>
      </w:r>
    </w:p>
    <w:p w:rsidR="00834371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878D7" w:rsidRPr="00420874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У разі, якщо до з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78D7" w:rsidRPr="00420874">
        <w:rPr>
          <w:rFonts w:ascii="Times New Roman" w:hAnsi="Times New Roman" w:cs="Times New Roman"/>
          <w:sz w:val="28"/>
          <w:szCs w:val="28"/>
          <w:lang w:val="uk-UA"/>
        </w:rPr>
        <w:t>яви (скарги) не додані всі передбачені законодавством докум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>енти або їх подано до неповноважного адміністративного органу, в усній формі повідомляти про це заявнику із зазначенням наслідків</w:t>
      </w:r>
      <w:r w:rsidR="00CB349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B6EE6" w:rsidRPr="00420874">
        <w:rPr>
          <w:rFonts w:ascii="Times New Roman" w:hAnsi="Times New Roman" w:cs="Times New Roman"/>
          <w:sz w:val="28"/>
          <w:szCs w:val="28"/>
          <w:lang w:val="uk-UA"/>
        </w:rPr>
        <w:t>обґрунтованою</w:t>
      </w:r>
      <w:r w:rsidR="00CB349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пропозицією виправити недоліки чи звернутися до повноважного адміністративного органу</w:t>
      </w:r>
      <w:r w:rsidR="00A321C5" w:rsidRPr="00420874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BBC" w:rsidRPr="00420874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4A4F9E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наполягання заявника </w:t>
      </w:r>
      <w:r w:rsidR="00A321C5" w:rsidRPr="004208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4BBC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1C5" w:rsidRPr="00420874">
        <w:rPr>
          <w:rFonts w:ascii="Times New Roman" w:hAnsi="Times New Roman" w:cs="Times New Roman"/>
          <w:sz w:val="28"/>
          <w:szCs w:val="28"/>
          <w:lang w:val="uk-UA"/>
        </w:rPr>
        <w:t>забезпечити реєстра</w:t>
      </w:r>
      <w:r w:rsidR="00CB3493" w:rsidRPr="00420874">
        <w:rPr>
          <w:rFonts w:ascii="Times New Roman" w:hAnsi="Times New Roman" w:cs="Times New Roman"/>
          <w:sz w:val="28"/>
          <w:szCs w:val="28"/>
          <w:lang w:val="uk-UA"/>
        </w:rPr>
        <w:t>цію заяви (скарги) в установленому порядку.</w:t>
      </w:r>
    </w:p>
    <w:p w:rsidR="009B63C9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813CB" w:rsidRPr="004208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13CB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3C9" w:rsidRPr="00420874">
        <w:rPr>
          <w:rFonts w:ascii="Times New Roman" w:hAnsi="Times New Roman" w:cs="Times New Roman"/>
          <w:sz w:val="28"/>
          <w:szCs w:val="28"/>
          <w:lang w:val="uk-UA"/>
        </w:rPr>
        <w:t>Відділу інформаційних технологій та комп’ютерного забезпечення Сумської міської ра</w:t>
      </w:r>
      <w:r w:rsidR="005419A3" w:rsidRPr="00420874">
        <w:rPr>
          <w:rFonts w:ascii="Times New Roman" w:hAnsi="Times New Roman" w:cs="Times New Roman"/>
          <w:sz w:val="28"/>
          <w:szCs w:val="28"/>
          <w:lang w:val="uk-UA"/>
        </w:rPr>
        <w:t>ди (</w:t>
      </w:r>
      <w:proofErr w:type="spellStart"/>
      <w:r w:rsidR="005419A3" w:rsidRPr="00420874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5419A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Ю.П.) за з</w:t>
      </w:r>
      <w:r w:rsidR="006607FA" w:rsidRPr="00420874">
        <w:rPr>
          <w:rFonts w:ascii="Times New Roman" w:hAnsi="Times New Roman" w:cs="Times New Roman"/>
          <w:sz w:val="28"/>
          <w:szCs w:val="28"/>
          <w:lang w:val="uk-UA"/>
        </w:rPr>
        <w:t>верненням</w:t>
      </w:r>
      <w:r w:rsidR="005419A3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 забезпечити можливість здійснення посадовими особами місцевого самоврядування процедурних дій у</w:t>
      </w:r>
      <w:r w:rsidR="005419A3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режимі </w:t>
      </w:r>
      <w:proofErr w:type="spellStart"/>
      <w:r w:rsidR="005419A3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відеоконференції</w:t>
      </w:r>
      <w:proofErr w:type="spellEnd"/>
      <w:r w:rsidR="005419A3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607FA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5419A3"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6607FA" w:rsidRPr="00420874">
        <w:rPr>
          <w:rFonts w:ascii="Times New Roman" w:hAnsi="Times New Roman" w:cs="Times New Roman"/>
          <w:sz w:val="28"/>
          <w:szCs w:val="28"/>
          <w:lang w:val="uk-UA"/>
        </w:rPr>
        <w:t>Управлінню суспільних комунікацій Сумської міської ради                 (</w:t>
      </w:r>
      <w:proofErr w:type="spellStart"/>
      <w:r w:rsidR="006607FA" w:rsidRPr="00420874">
        <w:rPr>
          <w:rFonts w:ascii="Times New Roman" w:hAnsi="Times New Roman" w:cs="Times New Roman"/>
          <w:sz w:val="28"/>
          <w:szCs w:val="28"/>
          <w:lang w:val="uk-UA"/>
        </w:rPr>
        <w:t>Дяговець</w:t>
      </w:r>
      <w:proofErr w:type="spellEnd"/>
      <w:r w:rsidR="006607FA" w:rsidRPr="00420874">
        <w:rPr>
          <w:rFonts w:ascii="Times New Roman" w:hAnsi="Times New Roman" w:cs="Times New Roman"/>
          <w:sz w:val="28"/>
          <w:szCs w:val="28"/>
          <w:lang w:val="uk-UA"/>
        </w:rPr>
        <w:t xml:space="preserve"> О.В.) за зверненням виконавчих органів Сумської міської ради регулярно інформувати учасників адміністративного провадження та громадськість про стан провадження з великою кількістю осіб, забезпечувати оприлюднення на офіційному веб-сайті Сумської міської ради інформаційних матеріалів, результатів адміністративного провадження.</w:t>
      </w:r>
    </w:p>
    <w:p w:rsidR="005419A3" w:rsidRPr="00420874" w:rsidRDefault="00377988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6607FA"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6607FA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19A3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</w:t>
      </w:r>
      <w:r w:rsidR="009E1CD6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заступника міського голови згідно з розподілом обов’язків</w:t>
      </w:r>
      <w:r w:rsidR="005419A3"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C255C" w:rsidRPr="00420874" w:rsidRDefault="000C255C" w:rsidP="00F939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377988"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Pr="004208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420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Дане рішення набирає чинності з моменту його прийняття.</w:t>
      </w:r>
    </w:p>
    <w:p w:rsidR="00A91F6B" w:rsidRPr="00420874" w:rsidRDefault="00A91F6B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91F6B" w:rsidRPr="00420874" w:rsidRDefault="00A91F6B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255C" w:rsidRPr="00420874" w:rsidRDefault="000C255C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91F6B" w:rsidRPr="00420874" w:rsidRDefault="00A91F6B" w:rsidP="00F939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90C" w:rsidRPr="00420874" w:rsidRDefault="009E1CD6" w:rsidP="00F93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</w:t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Артем КОБЗАР</w:t>
      </w:r>
    </w:p>
    <w:p w:rsidR="00A91F6B" w:rsidRPr="00420874" w:rsidRDefault="00A91F6B" w:rsidP="00F9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A8E" w:rsidRPr="00420874" w:rsidRDefault="00066A8E" w:rsidP="00F9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05E" w:rsidRPr="00420874" w:rsidRDefault="00C7105E" w:rsidP="00F9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05E" w:rsidRPr="00420874" w:rsidRDefault="00C7105E" w:rsidP="00C710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105E" w:rsidRPr="00420874" w:rsidRDefault="00C7105E" w:rsidP="00C7105E">
      <w:pPr>
        <w:pStyle w:val="1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auto"/>
          <w:sz w:val="24"/>
          <w:szCs w:val="28"/>
          <w:lang w:val="uk-UA"/>
        </w:rPr>
      </w:pPr>
      <w:r w:rsidRPr="00420874">
        <w:rPr>
          <w:rFonts w:ascii="Times New Roman" w:hAnsi="Times New Roman" w:cs="Times New Roman"/>
          <w:color w:val="auto"/>
          <w:sz w:val="24"/>
          <w:szCs w:val="28"/>
          <w:lang w:val="uk-UA"/>
        </w:rPr>
        <w:t>Чайченко О.В., 700-630</w:t>
      </w:r>
    </w:p>
    <w:p w:rsidR="00C7105E" w:rsidRPr="00420874" w:rsidRDefault="00C7105E" w:rsidP="00C7105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20874">
        <w:rPr>
          <w:rFonts w:ascii="Times New Roman" w:hAnsi="Times New Roman"/>
          <w:sz w:val="24"/>
          <w:szCs w:val="28"/>
          <w:lang w:val="uk-UA"/>
        </w:rPr>
        <w:t>Розіслати: згідно зі списком розсилки</w:t>
      </w:r>
    </w:p>
    <w:p w:rsidR="00F9390C" w:rsidRPr="00420874" w:rsidRDefault="00F9390C" w:rsidP="00F9390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20874">
        <w:rPr>
          <w:rFonts w:ascii="Times New Roman" w:eastAsia="Times New Roman" w:hAnsi="Times New Roman" w:cs="Times New Roman"/>
          <w:lang w:val="uk-UA" w:eastAsia="ru-RU"/>
        </w:rPr>
        <w:br w:type="page"/>
      </w:r>
    </w:p>
    <w:p w:rsidR="00F9390C" w:rsidRPr="00420874" w:rsidRDefault="00F9390C" w:rsidP="00F9390C">
      <w:pPr>
        <w:spacing w:after="0" w:line="240" w:lineRule="auto"/>
        <w:ind w:left="2832" w:firstLine="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Додаток</w:t>
      </w:r>
      <w:r w:rsidR="00C15F0F"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90C" w:rsidRPr="00420874" w:rsidRDefault="00F9390C" w:rsidP="00F93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9390C" w:rsidRPr="00420874" w:rsidRDefault="00420874" w:rsidP="00420874">
      <w:pPr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22.02.2024 № 89</w:t>
      </w:r>
    </w:p>
    <w:p w:rsidR="00F9390C" w:rsidRPr="00420874" w:rsidRDefault="00F9390C" w:rsidP="00F9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F0F" w:rsidRPr="00420874" w:rsidRDefault="00C15F0F" w:rsidP="00C1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0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Примірний перелік заходів</w:t>
      </w:r>
    </w:p>
    <w:p w:rsidR="00C15F0F" w:rsidRPr="00420874" w:rsidRDefault="00C15F0F" w:rsidP="00C1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0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впровадження Закону України «Про адміністративну процедуру»</w:t>
      </w:r>
    </w:p>
    <w:p w:rsidR="00C15F0F" w:rsidRPr="00420874" w:rsidRDefault="00C15F0F" w:rsidP="00C1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60"/>
        <w:gridCol w:w="5506"/>
      </w:tblGrid>
      <w:tr w:rsidR="00C15F0F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0F" w:rsidRPr="00420874" w:rsidRDefault="00C15F0F" w:rsidP="00CE0D9E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0F" w:rsidRPr="00420874" w:rsidRDefault="00C15F0F" w:rsidP="00C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0F" w:rsidRPr="00420874" w:rsidRDefault="00C15F0F" w:rsidP="00C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C15F0F" w:rsidRPr="00420874" w:rsidRDefault="00C15F0F" w:rsidP="00C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5F0F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0F" w:rsidRPr="00420874" w:rsidRDefault="00C15F0F" w:rsidP="00CE0D9E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0F" w:rsidRPr="00420874" w:rsidRDefault="00C15F0F" w:rsidP="00C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Навчання, методична і консультативна підтримка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5C" w:rsidRPr="00420874" w:rsidRDefault="000C255C" w:rsidP="000C2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Використані скорочення:</w:t>
            </w:r>
          </w:p>
          <w:p w:rsidR="000C255C" w:rsidRPr="00420874" w:rsidRDefault="000C255C" w:rsidP="000C255C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АА – адміністративний акт.</w:t>
            </w:r>
          </w:p>
          <w:p w:rsidR="000C255C" w:rsidRPr="00420874" w:rsidRDefault="000C255C" w:rsidP="000C255C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АО – адміністративний орган.</w:t>
            </w:r>
          </w:p>
          <w:p w:rsidR="000C255C" w:rsidRPr="00420874" w:rsidRDefault="000C255C" w:rsidP="000C255C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 – Закон України «Про адміністративну процедуру» (у переліку посилання на норми даного Закону).</w:t>
            </w:r>
          </w:p>
          <w:p w:rsidR="000C255C" w:rsidRPr="00420874" w:rsidRDefault="000C255C" w:rsidP="000C255C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ІК, ТК – інформаційні, технологічні картки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адмінпослуг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 </w:t>
            </w:r>
          </w:p>
          <w:p w:rsidR="000C255C" w:rsidRPr="00420874" w:rsidRDefault="000C255C" w:rsidP="000C255C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НПА – нормативно-правовий акт.</w:t>
            </w:r>
          </w:p>
          <w:p w:rsidR="000C255C" w:rsidRPr="00420874" w:rsidRDefault="000C255C" w:rsidP="000C255C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ОМС – орган (органи) місцевого самоврядування.</w:t>
            </w:r>
          </w:p>
          <w:p w:rsidR="00C15F0F" w:rsidRPr="00420874" w:rsidRDefault="000C255C" w:rsidP="000C255C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ПУО – комунальні підприємства, установи, організації, що належать до сфери управління ОМС та які відповідно до ЗАП уповноважені на виконання функцій публічної адміністрації.</w:t>
            </w:r>
          </w:p>
          <w:p w:rsidR="003A6F32" w:rsidRPr="00420874" w:rsidRDefault="003A6F32" w:rsidP="000C255C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ПЗ – програмне забезпечення.</w:t>
            </w:r>
          </w:p>
        </w:tc>
      </w:tr>
      <w:tr w:rsidR="00377988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1002F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навчальні заходи для персоналу, що має застосовувати ЗАП (із залученням до навчання членів колегіальних органів (комісій, рад, комітетів), які є АО).</w:t>
            </w:r>
          </w:p>
        </w:tc>
        <w:tc>
          <w:tcPr>
            <w:tcW w:w="5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37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рекомендованих веб-ресурсів, навчальних та довідкових матеріалів щодо ЗАП: 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Матеріали на сайті Міністерства юстиції України (</w:t>
            </w:r>
            <w:hyperlink r:id="rId6" w:history="1">
              <w:r w:rsidRPr="004208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https://minjust.gov.ua/</w:t>
              </w:r>
            </w:hyperlink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hyperlink r:id="rId7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Онлайн-курс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«Загальна адміністративна процедура»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платформі Зрозуміло (</w:t>
            </w:r>
            <w:r w:rsidR="001F0E5C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https://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courses.zrozumilo.in.ua/courses/course-v1:EEF+EEF-023+feb22/about).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hyperlink r:id="rId8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Чек-лист секретаріату КМУ/Мін’юсту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перегляду законодавства.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Матеріали на сайті про загальну адміністративну процедуру (</w:t>
            </w:r>
            <w:hyperlink r:id="rId9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https://adminprocedure.org.ua/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):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hyperlink r:id="rId10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Посібник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загальної адміністративної процедури для публічних службовців.</w:t>
            </w:r>
          </w:p>
          <w:p w:rsidR="00377988" w:rsidRPr="00420874" w:rsidRDefault="00377988" w:rsidP="003779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3.2. </w:t>
            </w:r>
            <w:hyperlink r:id="rId11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Науково-практичний коментар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Закону «Про адміністративну процедуру».</w:t>
            </w:r>
          </w:p>
          <w:p w:rsidR="00377988" w:rsidRPr="00420874" w:rsidRDefault="00377988" w:rsidP="001F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 </w:t>
            </w:r>
            <w:hyperlink r:id="rId12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Професійна спільнота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загальної адміністративної процедури у ФБ (</w:t>
            </w:r>
            <w:hyperlink r:id="rId13" w:history="1">
              <w:r w:rsidRPr="004208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https://m.facebook.com/groups/1019558895339393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).4. Навчання НАДС (реєстрація через портал управління знаннями (</w:t>
            </w:r>
            <w:hyperlink r:id="rId14" w:history="1">
              <w:r w:rsidRPr="004208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https://pdp.nacs.gov.ua/users/sign_up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377988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1002F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Довести до відома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необхідні веб-ресурси, навчальні та довідкові матеріали для застосування у щоденній роботі.</w:t>
            </w:r>
          </w:p>
        </w:tc>
        <w:tc>
          <w:tcPr>
            <w:tcW w:w="5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420874" w:rsidRDefault="00377988" w:rsidP="000C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55C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5C" w:rsidRPr="00420874" w:rsidRDefault="000C255C" w:rsidP="001002F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5C" w:rsidRPr="00420874" w:rsidRDefault="00EE50ED" w:rsidP="001F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роботу свого представника в робочій групі з питань впровадження загальної адміністративної процедури </w:t>
            </w:r>
            <w:r w:rsidR="001F0E5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органах місцевого самоврядування Сумської міської територіальної громади,</w:t>
            </w:r>
            <w:r w:rsidR="00F5409A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надання пропозицій та шляхів вирішення проблемних питань, формування методичних рекомендацій щодо застосування ЗАП.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5C" w:rsidRPr="00420874" w:rsidRDefault="000C255C" w:rsidP="000C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Функції публічної адміністрації, адміністративні органи, адміністративні акти в ОМС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Проаналізувати функції публічної адміністрації, які здійснюють ОМС за сферами повноважень/ галузями та АО, які їх реалізують.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Функції публічної адміністрації (ст. 2):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надання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здійснення інспекційної (контрольної, наглядової) діяльності; 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вирішення інших справ за заявою особи або 4) за власною ініціативою АО.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Відносини, на які ЗАП не поширюється (ст.1).</w:t>
            </w: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 (ідентифікувати) ОМС, їх посадових осіб, які є АО.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F5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АО - орган виконавчої влади, ОМС, їх посадова особа… (ст. 2). Місцева рада, виконавчий комітет, місцевий голова (у разі видання ним АА та «прирівняних дій» - довідки тощо), окремі виконавчі органи ради, окремі посадові особи, старости (ст. 2) та у певних випадках – інші суб’єкти.</w:t>
            </w: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 (ідентифікувати) ПУО, їх посадових осіб, які є також АО.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АО - … інший суб’єкт, який відповідно до закону уповноважений здійснювати функції публічної адміністрації (ст. 2).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 (ідентифікувати) види АА, які фактично видаються АО (ОМС та ПУО). Звернути особливу увагу на відмовні АА.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Видами АА можуть бути рішення, розпорядження, накази, листи тощо. 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F5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та проаналізувати фактичну кількість відмовних рішень (негативних АА) за сферами повноважень/галузями</w:t>
            </w:r>
            <w:r w:rsidR="00F5409A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/напрямами діяльності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АО за відповідний період (наприклад, 2023 рік).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Рішення, розпорядження, накази, листи тощо. 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Проаналізувати вплив ЗАП на сферу «звернень громадян» (види звернень), визначити заходи щодо приведення діяльності ОМС у відповідність до ЗАП, розмежувати/уточнити функції.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Потрібно буде відмежувати «заяви і скарги», що розглядатимуться за ЗАП від інших звернень (що залишаються у предметі Закону «Про звернення…».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5409A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Адміністративне провадження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Врахувати в регламентах, правилах, порядках – та відповідно у діяльності норми ЗАП щодо: </w:t>
            </w:r>
          </w:p>
          <w:p w:rsidR="001002F0" w:rsidRPr="00420874" w:rsidRDefault="001002F0" w:rsidP="001002F0">
            <w:pPr>
              <w:numPr>
                <w:ilvl w:val="0"/>
                <w:numId w:val="5"/>
              </w:numPr>
              <w:spacing w:after="0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«реєстрації заяви» (ст. 42);</w:t>
            </w:r>
          </w:p>
          <w:p w:rsidR="001002F0" w:rsidRPr="00420874" w:rsidRDefault="001002F0" w:rsidP="001002F0">
            <w:pPr>
              <w:numPr>
                <w:ilvl w:val="0"/>
                <w:numId w:val="5"/>
              </w:numPr>
              <w:spacing w:after="0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«залишення заяви без руху» (ст. 43);</w:t>
            </w:r>
          </w:p>
          <w:p w:rsidR="001002F0" w:rsidRPr="00420874" w:rsidRDefault="001002F0" w:rsidP="001002F0">
            <w:pPr>
              <w:numPr>
                <w:ilvl w:val="0"/>
                <w:numId w:val="5"/>
              </w:numPr>
              <w:spacing w:after="0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«залишення заяви без розгляду» (ст. 45);</w:t>
            </w:r>
          </w:p>
          <w:p w:rsidR="001002F0" w:rsidRPr="00420874" w:rsidRDefault="001002F0" w:rsidP="001002F0">
            <w:pPr>
              <w:numPr>
                <w:ilvl w:val="0"/>
                <w:numId w:val="5"/>
              </w:numPr>
              <w:spacing w:after="0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«зупинення провадження» (ст. 64);</w:t>
            </w:r>
          </w:p>
          <w:p w:rsidR="001002F0" w:rsidRPr="00420874" w:rsidRDefault="001002F0" w:rsidP="001002F0">
            <w:pPr>
              <w:numPr>
                <w:ilvl w:val="0"/>
                <w:numId w:val="5"/>
              </w:numPr>
              <w:spacing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«закриття провадження» (ст. 65).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регламентах, правилах, порядках додаткову (особливу) увагу приділити нормам, що гарантують право особи на участь у провадженні (ст. 17 та ін</w:t>
            </w:r>
            <w:r w:rsidR="00F5409A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За відсутності такого регулювання / розуміння – навчити та/або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НПА (або в ТК).</w:t>
            </w:r>
            <w:r w:rsidR="009B63C9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Фактично у кожному випадку коли йдеться про застосування таких підстав для відмови як недостовірні відомості, неповний перелік документів тощо – у разі коли додаткова комунікація з особою може змінити АА з негативного (зокрема, відмовного) на позитивний – має застосовуватися ЗАП. Це треба особливо враховувати у НПА ОМС.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Особливу увагу приділити нормам ЗАП про доведення АА до відома особи (ст. 75).  Перевірити чи відповідає ЗАП наявне регулювання в ОМС та практика, а за потреби – визначитися відповідно до ЗАП чи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доврегулювати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НПА ОМС (або зафіксувати в ІК та ТК тощо)</w:t>
            </w:r>
            <w:r w:rsidR="00F5409A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9B63C9" w:rsidP="009B63C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420874">
              <w:rPr>
                <w:rStyle w:val="rvts9"/>
                <w:bCs/>
                <w:lang w:val="uk-UA"/>
              </w:rPr>
              <w:t>АО має повідомити не лише адресата, а і інших заінтересованих осіб про початок адміністративного провадження (ч. 1 ст. 49). Для полегшення визначення такого кола осіб у заявах, формах, формулярах доцільно передбачити графу про те, чи відомо заявнику</w:t>
            </w:r>
            <w:r w:rsidR="00F5409A" w:rsidRPr="00420874">
              <w:rPr>
                <w:rStyle w:val="rvts9"/>
                <w:bCs/>
                <w:lang w:val="uk-UA"/>
              </w:rPr>
              <w:t>/скаржнику</w:t>
            </w:r>
            <w:r w:rsidRPr="00420874">
              <w:rPr>
                <w:rStyle w:val="rvts9"/>
                <w:bCs/>
                <w:lang w:val="uk-UA"/>
              </w:rPr>
              <w:t xml:space="preserve"> про заінтересованих осіб (на чиї права може вплинути АА, які мають протилежні інтереси). </w:t>
            </w:r>
            <w:bookmarkStart w:id="0" w:name="n356"/>
            <w:bookmarkEnd w:id="0"/>
            <w:r w:rsidRPr="00420874">
              <w:rPr>
                <w:lang w:val="uk-UA"/>
              </w:rPr>
              <w:t>У разі якщо адресат та/або заінтересована особа невідомі, АО розміщує повідомлення на своєму офіційному веб-сайті або оприлюднює його в інший визначений законодавством спосіб.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 порядок надання доступу до матеріалів справи в АО (ст. 51).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З’ясувати чи АО має АА, які може виконувати самостійно у примусовому порядку (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ст.ст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92-100), та виробити розуміння як це працюватиме в АО. За потреби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до відповідних положень про виконавчі органи, посадових інструкцій тощо.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Міжвідомча взаємодія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Визначити, в яких випадах АО самі отримують погодження і висновки від інших органів (ст. 16). Попередити їх про застосування правила мовчазної згоди (ст. 58).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 актуально для сфери адміністративних послуг: ЦНАП та суб’єктів надання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Визначити, в яких випадах АО самі надають погодження і висновки для інших органів. У разі застосування правила мовчазної згоди визначити сфери, де таке застосування потребує особливої уваги та не допущення помилкового використання мовчазної згоди (ст. 58).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 актуально для сфери адміністративних послуг: ЦНАП т</w:t>
            </w:r>
            <w:r w:rsidR="00E01BE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суб’єктів надання </w:t>
            </w:r>
            <w:proofErr w:type="spellStart"/>
            <w:r w:rsidR="00E01BE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  <w:r w:rsidR="00E01BE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BEC" w:rsidRPr="00420874" w:rsidRDefault="00E01BEC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 не поширюється на внутрішні відносини між ОМС, ПУО, їх посадовими особами, де присутні відносини підпорядкування (відсутня ознака «зовнішності дії»).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Адміністративне оскарження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Визначити хто є суб’єктом розгляду скарг в адміністративному порядку на кожен вид щодо власних та делегованих повноважень та суд, до якого може звернутися скаржник (ст. 79). Цю інформацію включити до АА (формулярів), зокрема, негативного (відмовного або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обтяжувального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характеру), а також в ІК / ТК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Враховуємо, що на цьому етапі окремі АА / АО не мають суб’єкта розгляду скарг в адміністративному порядку (як-от, місцеві ради, голови, виконкоми…). Для вирішення цього питання – див. додатково п. 5.3. 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Визначити порядок отримання скарг (у разі наявності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адміноскарження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і їх передачі суб’єкту розгляду скарг (ст. 82).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Утворити комісію з розгляду скарг (в міру готовності АО). Затвердити Положення та Регламент її роботи. </w:t>
            </w:r>
          </w:p>
          <w:p w:rsidR="001002F0" w:rsidRPr="00420874" w:rsidRDefault="001002F0" w:rsidP="00100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урахуванням </w:t>
            </w:r>
            <w:hyperlink r:id="rId15" w:anchor="Text" w:history="1"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Примірного положення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комісію з розгляду скарг, затвердженого Постановою КМУ від 28.04.2023 № 420 (має рекомендаційний характер для ОМС).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Насамперед, необхідно визначитися з доцільністю утворення комісії (залежно від обсягу негативних АА та позовів до суду тощо), сформувати бачення її оптимального складу та організації роботи, розробки порядку формування складу та регламенту роботи.</w:t>
            </w:r>
          </w:p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Можливе пілотування роботи комісії та удосконалення правил після апробації.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Регламенти, положення, інструкції, локальні НПА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Проаналізувати необхідність врахування вимог ЗАП, розробити необхідні проєкти рішень щодо приведення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Регламентів роботи СМР, виконавчих органів Сумської міської ради, ЦНАП, Інструкції з діловодства, Положення про виконавчі органи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відповідність до ЗАП.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BF4434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Документи, що підтверджують повноваження посадової особи щодо розгляду та вирішення адміністративної справи, надаються особі на її вимогу (ч. 1 ст. 22)</w:t>
            </w:r>
            <w:r w:rsidR="00E01BEC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потреби –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у посадові інструкції в частині но</w:t>
            </w:r>
            <w:r w:rsidR="00E01BE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 повноважень за ЗАП (як-от, у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частині примусового виконання АА тощо).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BF4434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Документи, що підтверджують повноваження посадової особи щодо розгляду та вирішення адміністративної справи, надаються особі на її вимогу (ч. 1 ст. 22)</w:t>
            </w:r>
            <w:r w:rsidR="00E01BEC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Перевірити (за </w:t>
            </w:r>
            <w:hyperlink r:id="rId16" w:history="1">
              <w:r w:rsidR="00E01BEC"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чек-листом секретаріату </w:t>
              </w:r>
              <w:r w:rsidRPr="0042087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КМУ/Мін’юсту</w:t>
              </w:r>
            </w:hyperlink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місцеві НПА за напрямом діяльності на предмет відповідності (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неконфліктності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ЗАП), у разі виявлення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невідповідностей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 місцеві НПА підготувати/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Наприклад, місцеві НПА: Правила благоустрою, Правила розміщення зовнішньої реклами,  </w:t>
            </w:r>
            <w:hyperlink r:id="rId17" w:history="1">
              <w:r w:rsidRPr="004208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Положення про організацію сезонної, святкової виїзної торгівлі, надання послуг у сфері розваг та проведення ярмарків </w:t>
              </w:r>
            </w:hyperlink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</w:tr>
      <w:tr w:rsidR="001002F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неможливості внесення змін в окремі місцеві НПА чи окремі норми (через залежність від спеціального законодавство тощо) – визначити «проблемні зони» та підходи до вирішення можливих колізій і прогалин.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потреби) зміни в номенклатуру справ ОМС.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Формуляри, типові рішення (АА, процедурні рішення)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2F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F0" w:rsidRPr="00420874" w:rsidRDefault="001002F0" w:rsidP="0010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Розробити/удосконалити форми АА (з урахуванням ЗАП, особливо щодо структури негативних АА – ст. 71 і ст. 72), у т. ч. зазначення щодо суб’єкта розгляду скарги та порядку подання скарги.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F0" w:rsidRPr="00420874" w:rsidRDefault="001002F0" w:rsidP="00D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D94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94" w:rsidRPr="00420874" w:rsidRDefault="00DD5D94" w:rsidP="00DD5D94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94" w:rsidRPr="00420874" w:rsidRDefault="00DD5D94" w:rsidP="00D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шаблони/формуляри: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(формуляри) заяв (ст. 40);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формуляри запрошень та повідомлень (ст. 32);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(формуляри) скарг (ст. 81);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форми (формуляри) клопотань (щодо різних питань передбачених ЗАП/релевантні для справ АО): в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 відводи тощо (п. 7 ч. 1 ст. 28, ст. 23-24 та ін.);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рішень за результатами розгляду клопотань (ст. 50);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(формуляр) на спрощене представництво (ч. 5 ст. 51);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рішень за результатами розгляду скарги (ч. 2 ст. 78, ст. 85);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попередження про примусове виконання /заходи впливу та їх застосування (ст. 98 та ін</w:t>
            </w:r>
            <w:r w:rsidR="007F573F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DD5D94" w:rsidRPr="00420874" w:rsidRDefault="00DD5D94" w:rsidP="00DD5D94">
            <w:pPr>
              <w:numPr>
                <w:ilvl w:val="0"/>
                <w:numId w:val="6"/>
              </w:numPr>
              <w:spacing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 та ТК, опису вхідного пакета документів тощо.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94" w:rsidRPr="00420874" w:rsidRDefault="00DD5D94" w:rsidP="0076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Звернути увагу, що:</w:t>
            </w:r>
          </w:p>
          <w:p w:rsidR="00976159" w:rsidRPr="00420874" w:rsidRDefault="00DD5D94" w:rsidP="003A4A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вступній частині АА окрім звичних найменування АО, дат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і реєстр.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номер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650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зазначаються відомості в обсязі, достатньому для встановлення особи адресата АА, та його контактні дані (при цьому </w:t>
            </w:r>
            <w:r w:rsidR="00D31965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захист і обробка персональних даних, що містяться в 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матеріалах справи, здійснюється згідно з вимогами Закону України «Про захист персональних даних», у </w:t>
            </w:r>
            <w:proofErr w:type="spellStart"/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і при оприлюдненні АА, ознайомленні з матеріалами справи тощо);</w:t>
            </w:r>
          </w:p>
          <w:p w:rsidR="00976159" w:rsidRPr="00420874" w:rsidRDefault="00976159" w:rsidP="003A4A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АА, що суперечить положенням закону щодо форми та змісту АА (у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відсутності мотив</w:t>
            </w:r>
            <w:r w:rsidR="00E01BEC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ування у визначених випадках), 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протиправним (п. 2 ч. 2 ст. 87).</w:t>
            </w:r>
            <w:r w:rsidR="0076650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Мотивування не вимагається, якщо:</w:t>
            </w:r>
            <w:r w:rsidR="0076650D"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n552"/>
            <w:bookmarkEnd w:id="1"/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АО задовольнив заяву, при цьому АА не стосується прав, свобод чи законних інтересів інших осіб;</w:t>
            </w:r>
            <w:r w:rsidR="0076650D"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" w:name="n553"/>
            <w:bookmarkEnd w:id="2"/>
            <w:r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АО під час здійснення інспекційних (контрольних, наглядових) повноважень не виявив порушень законодавства </w:t>
            </w:r>
            <w:r w:rsidR="0076650D" w:rsidRPr="00420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(ч. 6 ст. 72);</w:t>
            </w:r>
          </w:p>
          <w:p w:rsidR="0076650D" w:rsidRPr="00420874" w:rsidRDefault="00D31965" w:rsidP="003A4A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подання скарги не вважається пропущеним у разі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незазначення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76650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АА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строку та порядку його оскарження (ч. 4 ст. 80)</w:t>
            </w:r>
            <w:r w:rsidR="0076650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650D" w:rsidRPr="00420874" w:rsidRDefault="0076650D" w:rsidP="003A4A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загальним правилом АА набирає чинності з дня доведення його до відома відповідної особи (ч. 1 ст. 74);</w:t>
            </w:r>
          </w:p>
          <w:p w:rsidR="00DD5D94" w:rsidRPr="00420874" w:rsidRDefault="0076650D" w:rsidP="003908FD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разі відсутності суб’</w:t>
            </w:r>
            <w:r w:rsidR="003908F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 розгляду скарги по ЗАП у</w:t>
            </w:r>
            <w:r w:rsidR="00D31965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негативних АА зазначається вид суду, до якого особа може подати позов</w:t>
            </w:r>
            <w:r w:rsidR="003908FD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(ч. 1 ст. 74).</w:t>
            </w:r>
          </w:p>
        </w:tc>
      </w:tr>
      <w:tr w:rsidR="00DD5D94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4" w:rsidRPr="00420874" w:rsidRDefault="00DD5D94" w:rsidP="00DD5D94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4" w:rsidRPr="00420874" w:rsidRDefault="00DD5D94" w:rsidP="00D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системи / системи документообігу ОМС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4" w:rsidRPr="00420874" w:rsidRDefault="00DD5D94" w:rsidP="00D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D94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94" w:rsidRPr="00420874" w:rsidRDefault="00DD5D94" w:rsidP="00DD5D94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94" w:rsidRPr="00420874" w:rsidRDefault="00DD5D94" w:rsidP="00D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Визначити, які зміни потрібні у ПЗ (інформаційні системи), що використовують АО у діловодстві, в ЦНАП, у зв’язку з новими правилами ЗАП. 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потреби внесення змін сформувати відповідні ТЗ,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в ПЗ, навчити персонал новому функціоналу в ПЗ.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color w:val="333333"/>
                <w:shd w:val="clear" w:color="auto" w:fill="FFFFFF"/>
                <w:lang w:val="uk-UA"/>
              </w:rPr>
            </w:pP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потреби забезпечити технічну можливість проводити деякі процедурні дії в режимі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(ч. 4 ст. 54), безоплатного віддаленого доступу у режимі реального часу до електронних матеріалів справи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(ч. 4 ст. 51).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матеріали для клієнтів АО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Підготувати інформаційні матеріали, налагодити інформування про нові права і обов’язки за ЗАП (у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ч. 2 ст. 28,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третій ч. 1 ст. 63,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другий ч. 4 ст. 75).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Наприклад, підготувати пам’ятки про права і обов’язки за ЗАП і повідомляти їх особі при реєстрації заяви, вчиненні процесуальної дії, про що особа ставить свій підпис у заяві, акті інспекційної перевірки чи ін. документах, що залишаються в матеріалах адміністративного провадження.</w:t>
            </w: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можливість безоплатного одержання заявниками в достатній кількості бланків заяв та інших документів, необхідних для звернення; надання допомоги в оформленні заяв (ч. 6 ст. 41).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Видатки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420874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E00B12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</w:t>
            </w:r>
            <w:r w:rsidR="00E00B12"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3A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Проаналізувати, які правила ЗАП потребуватимуть додаткових ресурсів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3A6F32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Наприклад, рекомендовані листи з повідомленням про вручення, виготовлення бланків заяв, технічні та програмні засоби для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відеоконференцій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</w:tr>
      <w:tr w:rsidR="00D5525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Прорахувати з урахуванням даних минулих періодів можливу потребу у додаткових ресурсах і вчинити дії для забезпечення їх фінансування.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250" w:rsidRPr="001E10D7" w:rsidTr="00A14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3A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зменшення видатків на поштові відправлення забезпечити по можливості максимальне вручення запрошень, повідомлень, АА за ЗАП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особисто під підпис, надсилати засобами </w:t>
            </w:r>
            <w:r w:rsidR="003A6F32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технічного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зв’язку (електронною поштою</w:t>
            </w:r>
            <w:r w:rsidR="003A6F32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інформаційними мережами,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A6F32"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телефоном </w:t>
            </w:r>
            <w:r w:rsidRPr="0042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тощо) за наявними у справі контактними даними, про що робити відповідний запис у матеріалах справи.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250" w:rsidRPr="00420874" w:rsidRDefault="00D55250" w:rsidP="00D5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заявах, формах, формулярах передбачити графу для зазначення електронних адрес заявників, номерів телефонів, інформаційних мереж (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Signal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Whats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App</w:t>
            </w:r>
            <w:proofErr w:type="spellEnd"/>
            <w:r w:rsidRPr="00420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тощо), інших засобів технічного зв’язку, на які особа дає згоду надсилати визначені ЗАП повідомлення, запрошення тощо. </w:t>
            </w:r>
          </w:p>
        </w:tc>
      </w:tr>
    </w:tbl>
    <w:p w:rsidR="00C15F0F" w:rsidRPr="00420874" w:rsidRDefault="00C15F0F" w:rsidP="00C15F0F">
      <w:pPr>
        <w:spacing w:before="80" w:after="0" w:line="240" w:lineRule="auto"/>
        <w:ind w:left="426" w:hanging="5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5F0F" w:rsidRPr="00420874" w:rsidRDefault="00C15F0F" w:rsidP="00C15F0F">
      <w:pPr>
        <w:rPr>
          <w:lang w:val="uk-UA"/>
        </w:rPr>
      </w:pPr>
    </w:p>
    <w:p w:rsidR="00C15F0F" w:rsidRPr="00420874" w:rsidRDefault="00C15F0F" w:rsidP="00C15F0F">
      <w:pPr>
        <w:rPr>
          <w:lang w:val="uk-UA"/>
        </w:rPr>
      </w:pPr>
    </w:p>
    <w:p w:rsidR="00C15F0F" w:rsidRPr="00420874" w:rsidRDefault="00B63352" w:rsidP="00C15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C15F0F"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П</w:t>
      </w:r>
      <w:r w:rsidR="00C15F0F"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равового управління </w:t>
      </w:r>
    </w:p>
    <w:p w:rsidR="00C15F0F" w:rsidRPr="00420874" w:rsidRDefault="00C15F0F" w:rsidP="00C15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ради</w:t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63352"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63352" w:rsidRPr="00420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Алла КОРНІЄНКО</w:t>
      </w:r>
    </w:p>
    <w:p w:rsidR="00F9390C" w:rsidRPr="00420874" w:rsidRDefault="00F9390C" w:rsidP="00F9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90C" w:rsidRPr="00420874" w:rsidRDefault="00F9390C" w:rsidP="00F939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208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bookmarkStart w:id="3" w:name="_GoBack"/>
      <w:bookmarkEnd w:id="3"/>
    </w:p>
    <w:sectPr w:rsidR="00F9390C" w:rsidRPr="00420874" w:rsidSect="00CE0D9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768"/>
    <w:multiLevelType w:val="multilevel"/>
    <w:tmpl w:val="1230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E4007"/>
    <w:multiLevelType w:val="multilevel"/>
    <w:tmpl w:val="1CD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85C0A"/>
    <w:multiLevelType w:val="multilevel"/>
    <w:tmpl w:val="714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2428B"/>
    <w:multiLevelType w:val="multilevel"/>
    <w:tmpl w:val="39F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72CF3"/>
    <w:multiLevelType w:val="multilevel"/>
    <w:tmpl w:val="30E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26AB4"/>
    <w:multiLevelType w:val="multilevel"/>
    <w:tmpl w:val="B96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B"/>
    <w:rsid w:val="00013AD7"/>
    <w:rsid w:val="00044E8F"/>
    <w:rsid w:val="000615FE"/>
    <w:rsid w:val="00066A8E"/>
    <w:rsid w:val="0008317B"/>
    <w:rsid w:val="000A1BE5"/>
    <w:rsid w:val="000C255C"/>
    <w:rsid w:val="001002F0"/>
    <w:rsid w:val="0011585D"/>
    <w:rsid w:val="001878D7"/>
    <w:rsid w:val="0019722B"/>
    <w:rsid w:val="001D47BE"/>
    <w:rsid w:val="001E10D7"/>
    <w:rsid w:val="001F0E5C"/>
    <w:rsid w:val="002172EC"/>
    <w:rsid w:val="002424ED"/>
    <w:rsid w:val="00261DAF"/>
    <w:rsid w:val="002815AD"/>
    <w:rsid w:val="0029505C"/>
    <w:rsid w:val="002C2CBB"/>
    <w:rsid w:val="002F1588"/>
    <w:rsid w:val="00312F73"/>
    <w:rsid w:val="0034442E"/>
    <w:rsid w:val="0035334B"/>
    <w:rsid w:val="00377988"/>
    <w:rsid w:val="003908FD"/>
    <w:rsid w:val="00392BE3"/>
    <w:rsid w:val="003A4A32"/>
    <w:rsid w:val="003A6F32"/>
    <w:rsid w:val="003B3BE3"/>
    <w:rsid w:val="00420874"/>
    <w:rsid w:val="004A4F9E"/>
    <w:rsid w:val="004F237A"/>
    <w:rsid w:val="00533E5F"/>
    <w:rsid w:val="005419A3"/>
    <w:rsid w:val="005C5E30"/>
    <w:rsid w:val="006607FA"/>
    <w:rsid w:val="00686D7E"/>
    <w:rsid w:val="006946F2"/>
    <w:rsid w:val="0070539E"/>
    <w:rsid w:val="00713AF1"/>
    <w:rsid w:val="00754C5A"/>
    <w:rsid w:val="00760C66"/>
    <w:rsid w:val="0076650D"/>
    <w:rsid w:val="007C744E"/>
    <w:rsid w:val="007F573F"/>
    <w:rsid w:val="0081566D"/>
    <w:rsid w:val="00834371"/>
    <w:rsid w:val="0083515C"/>
    <w:rsid w:val="00860953"/>
    <w:rsid w:val="00876766"/>
    <w:rsid w:val="009162BF"/>
    <w:rsid w:val="00972D17"/>
    <w:rsid w:val="00976159"/>
    <w:rsid w:val="00997085"/>
    <w:rsid w:val="009B63C9"/>
    <w:rsid w:val="009E1CD6"/>
    <w:rsid w:val="00A14726"/>
    <w:rsid w:val="00A321C5"/>
    <w:rsid w:val="00A91F6B"/>
    <w:rsid w:val="00AA296C"/>
    <w:rsid w:val="00AD0405"/>
    <w:rsid w:val="00AE76DC"/>
    <w:rsid w:val="00B00975"/>
    <w:rsid w:val="00B20898"/>
    <w:rsid w:val="00B63352"/>
    <w:rsid w:val="00B87281"/>
    <w:rsid w:val="00BA1444"/>
    <w:rsid w:val="00BF3CFB"/>
    <w:rsid w:val="00BF4434"/>
    <w:rsid w:val="00BF7E26"/>
    <w:rsid w:val="00C07A6F"/>
    <w:rsid w:val="00C12033"/>
    <w:rsid w:val="00C15F0F"/>
    <w:rsid w:val="00C26E17"/>
    <w:rsid w:val="00C7105E"/>
    <w:rsid w:val="00C955F6"/>
    <w:rsid w:val="00CB3493"/>
    <w:rsid w:val="00CE0D9E"/>
    <w:rsid w:val="00D31965"/>
    <w:rsid w:val="00D35BE3"/>
    <w:rsid w:val="00D47DEB"/>
    <w:rsid w:val="00D55250"/>
    <w:rsid w:val="00D94026"/>
    <w:rsid w:val="00DC2719"/>
    <w:rsid w:val="00DD0FB8"/>
    <w:rsid w:val="00DD4BBC"/>
    <w:rsid w:val="00DD5D94"/>
    <w:rsid w:val="00DD6634"/>
    <w:rsid w:val="00E00B12"/>
    <w:rsid w:val="00E01BEC"/>
    <w:rsid w:val="00E35A96"/>
    <w:rsid w:val="00E72F54"/>
    <w:rsid w:val="00E813CB"/>
    <w:rsid w:val="00EE50ED"/>
    <w:rsid w:val="00F5409A"/>
    <w:rsid w:val="00F9390C"/>
    <w:rsid w:val="00FB6EE6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5961-E6F1-49B1-BDC8-F45DCFD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0C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71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343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8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8317B"/>
  </w:style>
  <w:style w:type="table" w:styleId="a3">
    <w:name w:val="Table Grid"/>
    <w:basedOn w:val="a1"/>
    <w:uiPriority w:val="39"/>
    <w:rsid w:val="00F939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343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8343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834371"/>
    <w:rPr>
      <w:b/>
      <w:bCs/>
    </w:rPr>
  </w:style>
  <w:style w:type="paragraph" w:styleId="a7">
    <w:name w:val="No Spacing"/>
    <w:uiPriority w:val="1"/>
    <w:rsid w:val="00CB3493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styleId="a8">
    <w:name w:val="FollowedHyperlink"/>
    <w:basedOn w:val="a0"/>
    <w:uiPriority w:val="99"/>
    <w:semiHidden/>
    <w:unhideWhenUsed/>
    <w:rsid w:val="00DC271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D9E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10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procedure.org.ua/assets/docs/Check.pdf" TargetMode="External"/><Relationship Id="rId13" Type="http://schemas.openxmlformats.org/officeDocument/2006/relationships/hyperlink" Target="https://m.facebook.com/groups/101955889533939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zrozumilo.in.ua/courses/course-v1:EEF+EEF-023+feb22/about" TargetMode="External"/><Relationship Id="rId12" Type="http://schemas.openxmlformats.org/officeDocument/2006/relationships/hyperlink" Target="https://www.facebook.com/groups/1019558895339393" TargetMode="External"/><Relationship Id="rId17" Type="http://schemas.openxmlformats.org/officeDocument/2006/relationships/hyperlink" Target="https://smr.gov.ua/images/documents/Reestr_diu4ih_norm_aktiv/133-17-03-20_Sezonna_torgivla_zkompanovanij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nprocedure.org.ua/assets/docs/Chec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gov.ua/news/ministry/naukovo-praktichniy-komentar-do-zakonu-pro-administrativnu-protseduru-teper-dostupniy-onlayn" TargetMode="External"/><Relationship Id="rId11" Type="http://schemas.openxmlformats.org/officeDocument/2006/relationships/hyperlink" Target="https://adminprocedure.org.ua/assets/docs/lap_commentary_web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420-2023-%D0%BF" TargetMode="External"/><Relationship Id="rId10" Type="http://schemas.openxmlformats.org/officeDocument/2006/relationships/hyperlink" Target="https://adminprocedure.org.ua/assets/docs/LAP_Handbook_for_public_servant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minprocedure.org.ua/" TargetMode="External"/><Relationship Id="rId14" Type="http://schemas.openxmlformats.org/officeDocument/2006/relationships/hyperlink" Target="https://pdp.nacs.gov.ua/users/sign_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4</cp:revision>
  <cp:lastPrinted>2024-02-22T13:47:00Z</cp:lastPrinted>
  <dcterms:created xsi:type="dcterms:W3CDTF">2024-02-26T10:25:00Z</dcterms:created>
  <dcterms:modified xsi:type="dcterms:W3CDTF">2024-02-26T10:54:00Z</dcterms:modified>
</cp:coreProperties>
</file>