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7B4220" w:rsidRPr="008841C3" w:rsidRDefault="00970839" w:rsidP="007B4220">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7B4220"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7B4220">
              <w:rPr>
                <w:rFonts w:ascii="Times New Roman" w:eastAsia="Times New Roman" w:hAnsi="Times New Roman" w:cs="Times New Roman"/>
                <w:sz w:val="27"/>
                <w:szCs w:val="27"/>
                <w:lang w:val="uk-UA" w:eastAsia="ru-RU"/>
              </w:rPr>
              <w:t>20.12.2023</w:t>
            </w:r>
            <w:r w:rsidRPr="00435C4F">
              <w:rPr>
                <w:rFonts w:ascii="Times New Roman" w:eastAsia="Times New Roman" w:hAnsi="Times New Roman" w:cs="Times New Roman"/>
                <w:sz w:val="27"/>
                <w:szCs w:val="27"/>
                <w:lang w:val="uk-UA" w:eastAsia="ru-RU"/>
              </w:rPr>
              <w:t xml:space="preserve">                      № </w:t>
            </w:r>
            <w:r w:rsidR="007B4220">
              <w:rPr>
                <w:rFonts w:ascii="Times New Roman" w:eastAsia="Times New Roman" w:hAnsi="Times New Roman" w:cs="Times New Roman"/>
                <w:sz w:val="27"/>
                <w:szCs w:val="27"/>
                <w:lang w:val="uk-UA" w:eastAsia="ru-RU"/>
              </w:rPr>
              <w:t>691</w:t>
            </w:r>
            <w:r w:rsidRPr="00435C4F">
              <w:rPr>
                <w:rFonts w:ascii="Times New Roman" w:eastAsia="Times New Roman" w:hAnsi="Times New Roman" w:cs="Times New Roman"/>
                <w:sz w:val="27"/>
                <w:szCs w:val="27"/>
                <w:lang w:val="uk-UA" w:eastAsia="ru-RU"/>
              </w:rPr>
              <w:t xml:space="preserve"> </w:t>
            </w:r>
          </w:p>
        </w:tc>
      </w:tr>
      <w:tr w:rsidR="00970839" w:rsidRPr="007B4220"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7B4220">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B1535C">
              <w:rPr>
                <w:rFonts w:ascii="Times New Roman" w:eastAsia="Times New Roman" w:hAnsi="Times New Roman" w:cs="Times New Roman"/>
                <w:b/>
                <w:sz w:val="27"/>
                <w:szCs w:val="27"/>
                <w:lang w:val="uk-UA" w:eastAsia="ru-RU"/>
              </w:rPr>
              <w:t>25</w:t>
            </w:r>
            <w:r w:rsidR="00EC2522">
              <w:rPr>
                <w:rFonts w:ascii="Times New Roman" w:eastAsia="Times New Roman" w:hAnsi="Times New Roman" w:cs="Times New Roman"/>
                <w:b/>
                <w:sz w:val="27"/>
                <w:szCs w:val="27"/>
                <w:lang w:val="uk-UA" w:eastAsia="ru-RU"/>
              </w:rPr>
              <w:t>.11.2023-6</w:t>
            </w:r>
            <w:r w:rsidR="00F42630">
              <w:rPr>
                <w:rFonts w:ascii="Times New Roman" w:eastAsia="Times New Roman" w:hAnsi="Times New Roman" w:cs="Times New Roman"/>
                <w:b/>
                <w:sz w:val="27"/>
                <w:szCs w:val="27"/>
                <w:lang w:val="uk-UA" w:eastAsia="ru-RU"/>
              </w:rPr>
              <w:t>6</w:t>
            </w:r>
            <w:r w:rsidR="00B1535C">
              <w:rPr>
                <w:rFonts w:ascii="Times New Roman" w:eastAsia="Times New Roman" w:hAnsi="Times New Roman" w:cs="Times New Roman"/>
                <w:b/>
                <w:sz w:val="27"/>
                <w:szCs w:val="27"/>
                <w:lang w:val="uk-UA" w:eastAsia="ru-RU"/>
              </w:rPr>
              <w:t>987</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226A17">
        <w:rPr>
          <w:rFonts w:ascii="Times New Roman" w:hAnsi="Times New Roman" w:cs="Times New Roman"/>
          <w:sz w:val="27"/>
          <w:szCs w:val="27"/>
          <w:lang w:val="uk-UA"/>
        </w:rPr>
        <w:t>12</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226A17">
        <w:rPr>
          <w:rFonts w:ascii="Times New Roman" w:hAnsi="Times New Roman" w:cs="Times New Roman"/>
          <w:sz w:val="27"/>
          <w:szCs w:val="27"/>
          <w:lang w:val="uk-UA"/>
        </w:rPr>
        <w:t>66</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226A17">
        <w:rPr>
          <w:rFonts w:ascii="Times New Roman" w:hAnsi="Times New Roman" w:cs="Times New Roman"/>
          <w:sz w:val="27"/>
          <w:szCs w:val="27"/>
          <w:lang w:val="uk-UA"/>
        </w:rPr>
        <w:t>12</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226A17">
        <w:rPr>
          <w:rFonts w:ascii="Times New Roman" w:hAnsi="Times New Roman" w:cs="Times New Roman"/>
          <w:sz w:val="27"/>
          <w:szCs w:val="27"/>
          <w:lang w:val="uk-UA"/>
        </w:rPr>
        <w:t>66</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226A17">
        <w:rPr>
          <w:rFonts w:ascii="Times New Roman" w:hAnsi="Times New Roman" w:cs="Times New Roman"/>
          <w:sz w:val="27"/>
          <w:szCs w:val="27"/>
          <w:lang w:val="uk-UA"/>
        </w:rPr>
        <w:t xml:space="preserve">відмову </w:t>
      </w:r>
      <w:r w:rsidR="007B4220">
        <w:rPr>
          <w:rFonts w:ascii="Times New Roman" w:hAnsi="Times New Roman" w:cs="Times New Roman"/>
          <w:sz w:val="27"/>
          <w:szCs w:val="27"/>
          <w:lang w:val="uk-UA"/>
        </w:rPr>
        <w:t>****************</w:t>
      </w:r>
      <w:r w:rsidR="00226A17">
        <w:rPr>
          <w:rFonts w:ascii="Times New Roman" w:hAnsi="Times New Roman" w:cs="Times New Roman"/>
          <w:sz w:val="27"/>
          <w:szCs w:val="27"/>
          <w:lang w:val="uk-UA"/>
        </w:rPr>
        <w:t xml:space="preserve"> у наданні</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1625AC" w:rsidRPr="007B4220" w:rsidRDefault="00A97AD5" w:rsidP="007B4220">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B4220">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7B4220">
        <w:rPr>
          <w:rFonts w:ascii="Times New Roman" w:eastAsia="Times New Roman" w:hAnsi="Times New Roman" w:cs="Times New Roman"/>
          <w:sz w:val="28"/>
          <w:szCs w:val="28"/>
          <w:lang w:val="uk-UA" w:eastAsia="ru-RU"/>
        </w:rPr>
        <w:t>691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B4220">
        <w:rPr>
          <w:rFonts w:ascii="Times New Roman" w:eastAsia="Times New Roman" w:hAnsi="Times New Roman" w:cs="Times New Roman"/>
          <w:sz w:val="28"/>
          <w:szCs w:val="28"/>
          <w:lang w:val="uk-UA" w:eastAsia="ru-RU"/>
        </w:rPr>
        <w:t>21.12.2023</w:t>
      </w:r>
      <w:r w:rsidRPr="008841C3">
        <w:rPr>
          <w:rFonts w:ascii="Times New Roman" w:eastAsia="Times New Roman" w:hAnsi="Times New Roman" w:cs="Times New Roman"/>
          <w:sz w:val="28"/>
          <w:szCs w:val="28"/>
          <w:lang w:val="uk-UA" w:eastAsia="ru-RU"/>
        </w:rPr>
        <w:t xml:space="preserve"> № </w:t>
      </w:r>
      <w:r w:rsidR="007B4220">
        <w:rPr>
          <w:rFonts w:ascii="Times New Roman" w:eastAsia="Times New Roman" w:hAnsi="Times New Roman" w:cs="Times New Roman"/>
          <w:sz w:val="28"/>
          <w:szCs w:val="28"/>
          <w:lang w:val="uk-UA" w:eastAsia="ru-RU"/>
        </w:rPr>
        <w:t>691</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226A17" w:rsidRDefault="00226A17" w:rsidP="00226A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26A17" w:rsidRDefault="00226A17" w:rsidP="00226A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26A17" w:rsidRDefault="00226A17" w:rsidP="00226A17">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26A17" w:rsidRDefault="00226A17" w:rsidP="00226A1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26A17" w:rsidRDefault="00226A17" w:rsidP="00226A1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266</w:t>
      </w:r>
    </w:p>
    <w:p w:rsidR="00226A17" w:rsidRDefault="00226A17" w:rsidP="00226A17">
      <w:pPr>
        <w:spacing w:after="0" w:line="240" w:lineRule="auto"/>
        <w:jc w:val="both"/>
        <w:rPr>
          <w:rFonts w:ascii="Times New Roman" w:eastAsia="Times New Roman" w:hAnsi="Times New Roman" w:cs="Times New Roman"/>
          <w:b/>
          <w:sz w:val="28"/>
          <w:szCs w:val="28"/>
          <w:lang w:val="uk-UA" w:eastAsia="ru-RU"/>
        </w:rPr>
      </w:pPr>
    </w:p>
    <w:p w:rsidR="00226A17" w:rsidRDefault="00226A17" w:rsidP="00226A17">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7B422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ЗВ-25.11.2023-66987</w:t>
      </w:r>
    </w:p>
    <w:p w:rsidR="00226A17" w:rsidRDefault="00226A17" w:rsidP="00226A17">
      <w:pPr>
        <w:spacing w:after="0" w:line="240" w:lineRule="auto"/>
        <w:jc w:val="both"/>
        <w:rPr>
          <w:rFonts w:ascii="Times New Roman" w:eastAsia="Times New Roman" w:hAnsi="Times New Roman" w:cs="Times New Roman"/>
          <w:sz w:val="28"/>
          <w:szCs w:val="28"/>
          <w:lang w:val="uk-UA" w:eastAsia="ru-RU"/>
        </w:rPr>
      </w:pPr>
    </w:p>
    <w:p w:rsidR="00226A17" w:rsidRPr="00C05E20" w:rsidRDefault="00226A17" w:rsidP="00226A17">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21</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.2023 №</w:t>
      </w:r>
      <w:r>
        <w:rPr>
          <w:rFonts w:ascii="Times New Roman" w:hAnsi="Times New Roman"/>
          <w:sz w:val="28"/>
          <w:szCs w:val="28"/>
          <w:lang w:val="uk-UA"/>
        </w:rPr>
        <w:t xml:space="preserve"> ІП-21</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.2023-1</w:t>
      </w:r>
      <w:r>
        <w:rPr>
          <w:rFonts w:ascii="Times New Roman" w:hAnsi="Times New Roman"/>
          <w:sz w:val="28"/>
          <w:szCs w:val="28"/>
          <w:lang w:val="uk-UA"/>
        </w:rPr>
        <w:t>1</w:t>
      </w:r>
      <w:r w:rsidRPr="00C05E20">
        <w:rPr>
          <w:rFonts w:ascii="Times New Roman" w:hAnsi="Times New Roman"/>
          <w:sz w:val="28"/>
          <w:szCs w:val="28"/>
          <w:lang w:val="uk-UA"/>
        </w:rPr>
        <w:t>0</w:t>
      </w:r>
      <w:r>
        <w:rPr>
          <w:rFonts w:ascii="Times New Roman" w:hAnsi="Times New Roman"/>
          <w:sz w:val="28"/>
          <w:szCs w:val="28"/>
          <w:lang w:val="uk-UA"/>
        </w:rPr>
        <w:t>392</w:t>
      </w:r>
      <w:r w:rsidRPr="00C05E20">
        <w:rPr>
          <w:rFonts w:ascii="Times New Roman" w:hAnsi="Times New Roman"/>
          <w:sz w:val="28"/>
          <w:szCs w:val="28"/>
          <w:lang w:val="uk-UA"/>
        </w:rPr>
        <w:t xml:space="preserve">, </w:t>
      </w:r>
      <w:r>
        <w:rPr>
          <w:rFonts w:ascii="Times New Roman" w:hAnsi="Times New Roman"/>
          <w:sz w:val="28"/>
          <w:szCs w:val="28"/>
          <w:lang w:val="uk-UA"/>
        </w:rPr>
        <w:t>02.08.2023 №</w:t>
      </w:r>
      <w:r w:rsidRPr="00C05E20">
        <w:rPr>
          <w:rFonts w:ascii="Times New Roman" w:hAnsi="Times New Roman"/>
          <w:sz w:val="28"/>
          <w:szCs w:val="28"/>
          <w:lang w:val="uk-UA"/>
        </w:rPr>
        <w:t> ІП-0</w:t>
      </w:r>
      <w:r>
        <w:rPr>
          <w:rFonts w:ascii="Times New Roman" w:hAnsi="Times New Roman"/>
          <w:sz w:val="28"/>
          <w:szCs w:val="28"/>
          <w:lang w:val="uk-UA"/>
        </w:rPr>
        <w:t>2</w:t>
      </w:r>
      <w:r w:rsidRPr="00C05E20">
        <w:rPr>
          <w:rFonts w:ascii="Times New Roman" w:hAnsi="Times New Roman"/>
          <w:sz w:val="28"/>
          <w:szCs w:val="28"/>
          <w:lang w:val="uk-UA"/>
        </w:rPr>
        <w:t>.08.2023-1</w:t>
      </w:r>
      <w:r>
        <w:rPr>
          <w:rFonts w:ascii="Times New Roman" w:hAnsi="Times New Roman"/>
          <w:sz w:val="28"/>
          <w:szCs w:val="28"/>
          <w:lang w:val="uk-UA"/>
        </w:rPr>
        <w:t>24658.</w:t>
      </w:r>
    </w:p>
    <w:p w:rsidR="00226A17" w:rsidRPr="00C05E20" w:rsidRDefault="00226A17" w:rsidP="00226A17">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заяви про надання компенсації за знищений об’єкт нерухомого майна: 2</w:t>
      </w:r>
      <w:r>
        <w:rPr>
          <w:rFonts w:ascii="Times New Roman" w:hAnsi="Times New Roman"/>
          <w:sz w:val="28"/>
          <w:szCs w:val="28"/>
          <w:lang w:val="uk-UA"/>
        </w:rPr>
        <w:t>5</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 № ЗВ-2</w:t>
      </w:r>
      <w:r>
        <w:rPr>
          <w:rFonts w:ascii="Times New Roman" w:hAnsi="Times New Roman"/>
          <w:sz w:val="28"/>
          <w:szCs w:val="28"/>
          <w:lang w:val="uk-UA"/>
        </w:rPr>
        <w:t>5</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66987</w:t>
      </w:r>
      <w:r w:rsidRPr="00C05E20">
        <w:rPr>
          <w:rFonts w:ascii="Times New Roman" w:hAnsi="Times New Roman"/>
          <w:sz w:val="28"/>
          <w:szCs w:val="28"/>
          <w:lang w:val="uk-UA"/>
        </w:rPr>
        <w:t>.</w:t>
      </w:r>
    </w:p>
    <w:p w:rsidR="00226A17" w:rsidRPr="00C05E20" w:rsidRDefault="00226A17" w:rsidP="00226A17">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7B4220">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226A17" w:rsidRPr="00C05E20" w:rsidRDefault="00226A17" w:rsidP="00226A17">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226A17" w:rsidRPr="00C05E20" w:rsidRDefault="00226A17" w:rsidP="00226A17">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226A17" w:rsidRDefault="00226A17" w:rsidP="00226A17">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7B4220">
        <w:rPr>
          <w:rFonts w:ascii="Times New Roman" w:hAnsi="Times New Roman"/>
          <w:sz w:val="28"/>
          <w:szCs w:val="28"/>
          <w:lang w:val="uk-UA"/>
        </w:rPr>
        <w:t>***************</w:t>
      </w:r>
      <w:r>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7B4220">
        <w:rPr>
          <w:rFonts w:ascii="Times New Roman" w:hAnsi="Times New Roman"/>
          <w:sz w:val="28"/>
          <w:szCs w:val="28"/>
          <w:lang w:val="uk-UA"/>
        </w:rPr>
        <w:t>***************</w:t>
      </w:r>
      <w:bookmarkStart w:id="0" w:name="_GoBack"/>
      <w:bookmarkEnd w:id="0"/>
      <w:r w:rsidRPr="00C05E20">
        <w:rPr>
          <w:rFonts w:ascii="Times New Roman" w:hAnsi="Times New Roman"/>
          <w:sz w:val="28"/>
          <w:szCs w:val="28"/>
          <w:lang w:val="uk-UA"/>
        </w:rPr>
        <w:t xml:space="preserve"> у зв’язку з поданням заявни</w:t>
      </w:r>
      <w:r>
        <w:rPr>
          <w:rFonts w:ascii="Times New Roman" w:hAnsi="Times New Roman"/>
          <w:sz w:val="28"/>
          <w:szCs w:val="28"/>
          <w:lang w:val="uk-UA"/>
        </w:rPr>
        <w:t>ком</w:t>
      </w:r>
      <w:r w:rsidRPr="00C05E20">
        <w:rPr>
          <w:rFonts w:ascii="Times New Roman" w:hAnsi="Times New Roman"/>
          <w:sz w:val="28"/>
          <w:szCs w:val="28"/>
          <w:lang w:val="uk-UA"/>
        </w:rPr>
        <w:t xml:space="preserve"> у</w:t>
      </w:r>
      <w:r>
        <w:rPr>
          <w:rFonts w:ascii="Times New Roman" w:hAnsi="Times New Roman"/>
          <w:sz w:val="28"/>
          <w:szCs w:val="28"/>
          <w:lang w:val="uk-UA"/>
        </w:rPr>
        <w:t xml:space="preserve"> паперовій формі повідомлення від 07.12.2023 про відкликання своєї заяви про надання компенсації </w:t>
      </w:r>
      <w:r>
        <w:rPr>
          <w:rFonts w:ascii="Times New Roman" w:eastAsia="Times New Roman" w:hAnsi="Times New Roman" w:cs="Times New Roman"/>
          <w:sz w:val="28"/>
          <w:szCs w:val="28"/>
          <w:lang w:val="uk-UA" w:eastAsia="ru-RU"/>
        </w:rPr>
        <w:t>(протокол засідання від 12.12.2023 № 26).</w:t>
      </w:r>
    </w:p>
    <w:p w:rsidR="00226A17" w:rsidRDefault="00226A17" w:rsidP="00226A17">
      <w:pPr>
        <w:spacing w:after="0" w:line="240" w:lineRule="auto"/>
        <w:jc w:val="both"/>
        <w:rPr>
          <w:rFonts w:ascii="Times New Roman" w:eastAsia="Times New Roman" w:hAnsi="Times New Roman" w:cs="Times New Roman"/>
          <w:sz w:val="28"/>
          <w:szCs w:val="28"/>
          <w:lang w:val="uk-UA" w:eastAsia="ru-RU"/>
        </w:rPr>
      </w:pPr>
    </w:p>
    <w:p w:rsidR="00226A17" w:rsidRPr="00910616" w:rsidRDefault="00226A17" w:rsidP="00226A17">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226A17" w:rsidRPr="00910616" w:rsidRDefault="00226A17" w:rsidP="00226A17">
      <w:pPr>
        <w:spacing w:after="0" w:line="36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59" w:rsidRDefault="003A0959">
      <w:pPr>
        <w:spacing w:after="0" w:line="240" w:lineRule="auto"/>
      </w:pPr>
      <w:r>
        <w:separator/>
      </w:r>
    </w:p>
  </w:endnote>
  <w:endnote w:type="continuationSeparator" w:id="0">
    <w:p w:rsidR="003A0959" w:rsidRDefault="003A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59" w:rsidRDefault="003A0959">
      <w:pPr>
        <w:spacing w:after="0" w:line="240" w:lineRule="auto"/>
      </w:pPr>
      <w:r>
        <w:separator/>
      </w:r>
    </w:p>
  </w:footnote>
  <w:footnote w:type="continuationSeparator" w:id="0">
    <w:p w:rsidR="003A0959" w:rsidRDefault="003A0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959"/>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B4220"/>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E744"/>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CF29-7AC8-4F9F-BB25-02C98EC4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2023-12-07T08:09:00Z</cp:lastPrinted>
  <dcterms:created xsi:type="dcterms:W3CDTF">2023-12-14T11:58:00Z</dcterms:created>
  <dcterms:modified xsi:type="dcterms:W3CDTF">2023-12-29T09:39:00Z</dcterms:modified>
</cp:coreProperties>
</file>