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BE4BCC" w:rsidTr="00BE4BCC">
        <w:trPr>
          <w:jc w:val="center"/>
        </w:trPr>
        <w:tc>
          <w:tcPr>
            <w:tcW w:w="4252" w:type="dxa"/>
          </w:tcPr>
          <w:p w:rsidR="00BE4BCC" w:rsidRDefault="00BE4BCC">
            <w:pPr>
              <w:tabs>
                <w:tab w:val="left" w:pos="8447"/>
              </w:tabs>
              <w:spacing w:before="56" w:line="256" w:lineRule="auto"/>
              <w:rPr>
                <w:szCs w:val="28"/>
                <w:lang w:eastAsia="en-US"/>
              </w:rPr>
            </w:pPr>
            <w:r>
              <w:rPr>
                <w:lang w:val="uk-UA"/>
              </w:rPr>
              <w:br w:type="page"/>
            </w:r>
          </w:p>
        </w:tc>
        <w:tc>
          <w:tcPr>
            <w:tcW w:w="1134" w:type="dxa"/>
          </w:tcPr>
          <w:p w:rsidR="00BE4BCC" w:rsidRDefault="00BE4BCC">
            <w:pPr>
              <w:tabs>
                <w:tab w:val="left" w:pos="8447"/>
              </w:tabs>
              <w:spacing w:line="256" w:lineRule="auto"/>
              <w:jc w:val="center"/>
              <w:rPr>
                <w:szCs w:val="28"/>
                <w:lang w:val="uk-UA" w:eastAsia="en-US"/>
              </w:rPr>
            </w:pPr>
            <w:r>
              <w:rPr>
                <w:noProof/>
                <w:szCs w:val="28"/>
              </w:rPr>
              <w:drawing>
                <wp:inline distT="0" distB="0" distL="0" distR="0">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rsidR="00BE4BCC" w:rsidRDefault="00BE4BCC">
            <w:pPr>
              <w:tabs>
                <w:tab w:val="left" w:pos="8447"/>
              </w:tabs>
              <w:spacing w:line="256" w:lineRule="auto"/>
              <w:jc w:val="center"/>
              <w:rPr>
                <w:szCs w:val="28"/>
                <w:lang w:val="uk-UA" w:eastAsia="en-US"/>
              </w:rPr>
            </w:pPr>
          </w:p>
        </w:tc>
        <w:tc>
          <w:tcPr>
            <w:tcW w:w="4253" w:type="dxa"/>
          </w:tcPr>
          <w:p w:rsidR="00BE4BCC" w:rsidRDefault="00BE4BCC" w:rsidP="006F46F7">
            <w:pPr>
              <w:tabs>
                <w:tab w:val="left" w:pos="8447"/>
              </w:tabs>
              <w:spacing w:before="56" w:line="256" w:lineRule="auto"/>
              <w:jc w:val="right"/>
              <w:rPr>
                <w:szCs w:val="28"/>
                <w:lang w:val="uk-UA" w:eastAsia="en-US"/>
              </w:rPr>
            </w:pPr>
          </w:p>
        </w:tc>
      </w:tr>
    </w:tbl>
    <w:p w:rsidR="00BE4BCC" w:rsidRDefault="00BE4BCC" w:rsidP="00BE4BCC">
      <w:pPr>
        <w:jc w:val="center"/>
        <w:rPr>
          <w:sz w:val="36"/>
          <w:szCs w:val="36"/>
        </w:rPr>
      </w:pPr>
      <w:r>
        <w:rPr>
          <w:sz w:val="36"/>
          <w:szCs w:val="36"/>
        </w:rPr>
        <w:t>Сумська міська рада</w:t>
      </w:r>
    </w:p>
    <w:p w:rsidR="00BE4BCC" w:rsidRDefault="00BE4BCC" w:rsidP="00BE4BCC">
      <w:pPr>
        <w:jc w:val="center"/>
        <w:rPr>
          <w:sz w:val="36"/>
          <w:szCs w:val="36"/>
        </w:rPr>
      </w:pPr>
      <w:r>
        <w:rPr>
          <w:sz w:val="36"/>
          <w:szCs w:val="36"/>
          <w:lang w:val="uk-UA"/>
        </w:rPr>
        <w:t>В</w:t>
      </w:r>
      <w:r>
        <w:rPr>
          <w:sz w:val="36"/>
          <w:szCs w:val="36"/>
        </w:rPr>
        <w:t>иконавчий комітет</w:t>
      </w:r>
    </w:p>
    <w:p w:rsidR="00BE4BCC" w:rsidRDefault="00BE4BCC" w:rsidP="00BE4BCC">
      <w:pPr>
        <w:pStyle w:val="1"/>
      </w:pPr>
      <w:r>
        <w:t>РІШЕННЯ</w:t>
      </w:r>
    </w:p>
    <w:p w:rsidR="00BE4BCC" w:rsidRDefault="00BE4BCC" w:rsidP="00BE4BCC">
      <w:pPr>
        <w:jc w:val="center"/>
        <w:rPr>
          <w:i/>
          <w:szCs w:val="28"/>
        </w:rPr>
      </w:pPr>
    </w:p>
    <w:tbl>
      <w:tblPr>
        <w:tblpPr w:leftFromText="180" w:rightFromText="180" w:bottomFromText="160" w:vertAnchor="text" w:tblpY="1"/>
        <w:tblOverlap w:val="never"/>
        <w:tblW w:w="0" w:type="auto"/>
        <w:tblLook w:val="01E0" w:firstRow="1" w:lastRow="1" w:firstColumn="1" w:lastColumn="1" w:noHBand="0" w:noVBand="0"/>
      </w:tblPr>
      <w:tblGrid>
        <w:gridCol w:w="4989"/>
      </w:tblGrid>
      <w:tr w:rsidR="00BE4BCC" w:rsidTr="00BE4BCC">
        <w:trPr>
          <w:trHeight w:val="234"/>
        </w:trPr>
        <w:tc>
          <w:tcPr>
            <w:tcW w:w="4989" w:type="dxa"/>
            <w:hideMark/>
          </w:tcPr>
          <w:p w:rsidR="00BE4BCC" w:rsidRPr="00A03CA9" w:rsidRDefault="00BE4BCC" w:rsidP="00A03CA9">
            <w:pPr>
              <w:spacing w:line="256" w:lineRule="auto"/>
              <w:rPr>
                <w:i/>
                <w:lang w:val="en-US" w:eastAsia="en-US"/>
              </w:rPr>
            </w:pPr>
            <w:r>
              <w:rPr>
                <w:lang w:eastAsia="en-US"/>
              </w:rPr>
              <w:t xml:space="preserve">від </w:t>
            </w:r>
            <w:r w:rsidR="003F2374">
              <w:rPr>
                <w:lang w:val="uk-UA" w:eastAsia="en-US"/>
              </w:rPr>
              <w:t xml:space="preserve"> </w:t>
            </w:r>
            <w:r w:rsidR="00A03CA9">
              <w:rPr>
                <w:lang w:val="en-US" w:eastAsia="en-US"/>
              </w:rPr>
              <w:t>04</w:t>
            </w:r>
            <w:r w:rsidR="00A03CA9">
              <w:rPr>
                <w:lang w:val="uk-UA" w:eastAsia="en-US"/>
              </w:rPr>
              <w:t>.</w:t>
            </w:r>
            <w:r w:rsidR="00A03CA9">
              <w:rPr>
                <w:lang w:val="en-US" w:eastAsia="en-US"/>
              </w:rPr>
              <w:t>12</w:t>
            </w:r>
            <w:r w:rsidR="00A03CA9">
              <w:rPr>
                <w:lang w:val="uk-UA" w:eastAsia="en-US"/>
              </w:rPr>
              <w:t>.</w:t>
            </w:r>
            <w:bookmarkStart w:id="0" w:name="_GoBack"/>
            <w:bookmarkEnd w:id="0"/>
            <w:r w:rsidR="00A03CA9">
              <w:rPr>
                <w:lang w:val="en-US" w:eastAsia="en-US"/>
              </w:rPr>
              <w:t>2020</w:t>
            </w:r>
            <w:r w:rsidR="003F2374">
              <w:rPr>
                <w:lang w:val="uk-UA" w:eastAsia="en-US"/>
              </w:rPr>
              <w:t xml:space="preserve">  </w:t>
            </w:r>
            <w:r>
              <w:rPr>
                <w:lang w:eastAsia="en-US"/>
              </w:rPr>
              <w:t xml:space="preserve"> №</w:t>
            </w:r>
            <w:r>
              <w:rPr>
                <w:lang w:val="uk-UA" w:eastAsia="en-US"/>
              </w:rPr>
              <w:t xml:space="preserve"> </w:t>
            </w:r>
            <w:r w:rsidR="003F2374">
              <w:rPr>
                <w:lang w:val="uk-UA" w:eastAsia="en-US"/>
              </w:rPr>
              <w:t xml:space="preserve"> </w:t>
            </w:r>
            <w:r w:rsidR="00A03CA9">
              <w:rPr>
                <w:lang w:val="en-US" w:eastAsia="en-US"/>
              </w:rPr>
              <w:t>559</w:t>
            </w:r>
          </w:p>
        </w:tc>
      </w:tr>
      <w:tr w:rsidR="00BE4BCC" w:rsidTr="00BE4BCC">
        <w:trPr>
          <w:trHeight w:val="245"/>
        </w:trPr>
        <w:tc>
          <w:tcPr>
            <w:tcW w:w="4989" w:type="dxa"/>
          </w:tcPr>
          <w:p w:rsidR="00BE4BCC" w:rsidRDefault="00BE4BCC">
            <w:pPr>
              <w:spacing w:line="256" w:lineRule="auto"/>
              <w:rPr>
                <w:i/>
                <w:lang w:eastAsia="en-US"/>
              </w:rPr>
            </w:pPr>
          </w:p>
        </w:tc>
      </w:tr>
      <w:tr w:rsidR="00BE4BCC" w:rsidTr="00BE4BCC">
        <w:trPr>
          <w:trHeight w:val="612"/>
        </w:trPr>
        <w:tc>
          <w:tcPr>
            <w:tcW w:w="4989" w:type="dxa"/>
          </w:tcPr>
          <w:p w:rsidR="00BE4BCC" w:rsidRDefault="00BE4BCC">
            <w:pPr>
              <w:spacing w:line="256" w:lineRule="auto"/>
              <w:jc w:val="both"/>
              <w:rPr>
                <w:i/>
                <w:lang w:eastAsia="en-US"/>
              </w:rPr>
            </w:pPr>
            <w:r>
              <w:rPr>
                <w:b/>
                <w:lang w:eastAsia="en-US"/>
              </w:rPr>
              <w:t xml:space="preserve">Про </w:t>
            </w:r>
            <w:r>
              <w:rPr>
                <w:b/>
                <w:lang w:val="uk-UA" w:eastAsia="en-US"/>
              </w:rPr>
              <w:t>визначення способу участі у вихованні дитини</w:t>
            </w:r>
          </w:p>
          <w:p w:rsidR="00BE4BCC" w:rsidRDefault="00BE4BCC">
            <w:pPr>
              <w:spacing w:line="256" w:lineRule="auto"/>
              <w:rPr>
                <w:lang w:val="uk-UA" w:eastAsia="en-US"/>
              </w:rPr>
            </w:pPr>
          </w:p>
        </w:tc>
      </w:tr>
    </w:tbl>
    <w:p w:rsidR="00BE4BCC" w:rsidRDefault="00BE4BCC" w:rsidP="00BE4BCC">
      <w:pPr>
        <w:widowControl w:val="0"/>
        <w:autoSpaceDE w:val="0"/>
        <w:autoSpaceDN w:val="0"/>
        <w:adjustRightInd w:val="0"/>
        <w:ind w:firstLine="567"/>
        <w:jc w:val="both"/>
        <w:rPr>
          <w:sz w:val="16"/>
          <w:lang w:val="uk-UA"/>
        </w:rPr>
      </w:pPr>
    </w:p>
    <w:p w:rsidR="00BE4BCC" w:rsidRDefault="00BE4BCC" w:rsidP="00BE4BCC">
      <w:pPr>
        <w:widowControl w:val="0"/>
        <w:autoSpaceDE w:val="0"/>
        <w:autoSpaceDN w:val="0"/>
        <w:adjustRightInd w:val="0"/>
        <w:ind w:firstLine="720"/>
        <w:jc w:val="both"/>
        <w:rPr>
          <w:b/>
          <w:lang w:val="uk-UA"/>
        </w:rPr>
      </w:pPr>
      <w:r>
        <w:rPr>
          <w:sz w:val="16"/>
          <w:lang w:val="uk-UA"/>
        </w:rPr>
        <w:br w:type="textWrapping" w:clear="all"/>
      </w:r>
      <w:r>
        <w:rPr>
          <w:szCs w:val="28"/>
          <w:lang w:val="uk-UA"/>
        </w:rPr>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Pr>
          <w:rFonts w:ascii="Times New Roman CYR" w:hAnsi="Times New Roman CYR" w:cs="Times New Roman CYR"/>
          <w:szCs w:val="28"/>
          <w:lang w:val="uk-UA"/>
        </w:rPr>
        <w:t xml:space="preserve">рішення комісії з питань захисту прав дитини </w:t>
      </w:r>
      <w:r w:rsidR="003E11CF">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від </w:t>
      </w:r>
      <w:r w:rsidR="003E11CF">
        <w:rPr>
          <w:rFonts w:ascii="Times New Roman CYR" w:hAnsi="Times New Roman CYR" w:cs="Times New Roman CYR"/>
          <w:szCs w:val="28"/>
          <w:lang w:val="uk-UA"/>
        </w:rPr>
        <w:t>2</w:t>
      </w:r>
      <w:r w:rsidR="000975D1">
        <w:rPr>
          <w:rFonts w:ascii="Times New Roman CYR" w:hAnsi="Times New Roman CYR" w:cs="Times New Roman CYR"/>
          <w:szCs w:val="28"/>
          <w:lang w:val="uk-UA"/>
        </w:rPr>
        <w:t>6</w:t>
      </w:r>
      <w:r w:rsidR="003E11CF">
        <w:rPr>
          <w:rFonts w:ascii="Times New Roman CYR" w:hAnsi="Times New Roman CYR" w:cs="Times New Roman CYR"/>
          <w:szCs w:val="28"/>
          <w:lang w:val="uk-UA"/>
        </w:rPr>
        <w:t>.11.2020</w:t>
      </w:r>
      <w:r>
        <w:rPr>
          <w:rFonts w:ascii="Times New Roman CYR" w:hAnsi="Times New Roman CYR" w:cs="Times New Roman CYR"/>
          <w:szCs w:val="28"/>
          <w:lang w:val="uk-UA"/>
        </w:rPr>
        <w:t xml:space="preserve">, протокол № </w:t>
      </w:r>
      <w:r w:rsidR="002B4F2C">
        <w:rPr>
          <w:rFonts w:ascii="Times New Roman CYR" w:hAnsi="Times New Roman CYR" w:cs="Times New Roman CYR"/>
          <w:szCs w:val="28"/>
          <w:lang w:val="uk-UA"/>
        </w:rPr>
        <w:t>1</w:t>
      </w:r>
      <w:r w:rsidR="003F2374">
        <w:rPr>
          <w:rFonts w:ascii="Times New Roman CYR" w:hAnsi="Times New Roman CYR" w:cs="Times New Roman CYR"/>
          <w:szCs w:val="28"/>
          <w:lang w:val="uk-UA"/>
        </w:rPr>
        <w:t>7</w:t>
      </w:r>
      <w:r>
        <w:rPr>
          <w:rFonts w:ascii="Times New Roman CYR" w:hAnsi="Times New Roman CYR" w:cs="Times New Roman CYR"/>
          <w:szCs w:val="28"/>
          <w:lang w:val="uk-UA"/>
        </w:rPr>
        <w:t xml:space="preserve">, </w:t>
      </w:r>
      <w:r>
        <w:rPr>
          <w:szCs w:val="28"/>
          <w:lang w:val="uk-UA"/>
        </w:rPr>
        <w:t xml:space="preserve">керуючись </w:t>
      </w:r>
      <w:r>
        <w:rPr>
          <w:lang w:val="uk-UA"/>
        </w:rPr>
        <w:t xml:space="preserve">підпунктом 4 пункту «б» частини першої статті 34, </w:t>
      </w:r>
      <w:r>
        <w:rPr>
          <w:rFonts w:ascii="Times New Roman CYR" w:hAnsi="Times New Roman CYR" w:cs="Times New Roman CYR"/>
          <w:szCs w:val="28"/>
          <w:lang w:val="uk-UA"/>
        </w:rPr>
        <w:t xml:space="preserve">частиною першою статті 52 Закону України «Про місцеве самоврядування в Україні», </w:t>
      </w:r>
      <w:r>
        <w:rPr>
          <w:b/>
          <w:lang w:val="uk-UA"/>
        </w:rPr>
        <w:t>виконавчий комітет Сумської міської ради</w:t>
      </w:r>
    </w:p>
    <w:p w:rsidR="00BE4BCC" w:rsidRDefault="00BE4BCC" w:rsidP="00BE4BCC">
      <w:pPr>
        <w:pStyle w:val="a3"/>
        <w:ind w:right="0"/>
        <w:jc w:val="both"/>
        <w:rPr>
          <w:b/>
          <w:sz w:val="28"/>
          <w:szCs w:val="28"/>
        </w:rPr>
      </w:pPr>
    </w:p>
    <w:p w:rsidR="00BE4BCC" w:rsidRDefault="00BE4BCC" w:rsidP="00BE4BCC">
      <w:pPr>
        <w:pStyle w:val="a3"/>
        <w:ind w:right="-28"/>
        <w:jc w:val="center"/>
        <w:outlineLvl w:val="0"/>
        <w:rPr>
          <w:b/>
          <w:sz w:val="28"/>
        </w:rPr>
      </w:pPr>
      <w:r>
        <w:rPr>
          <w:b/>
          <w:sz w:val="28"/>
        </w:rPr>
        <w:t>ВИРІШИВ:</w:t>
      </w:r>
    </w:p>
    <w:p w:rsidR="00BE4BCC" w:rsidRDefault="00BE4BCC" w:rsidP="00BE4BCC">
      <w:pPr>
        <w:pStyle w:val="a3"/>
        <w:ind w:right="-28"/>
        <w:outlineLvl w:val="0"/>
        <w:rPr>
          <w:b/>
          <w:sz w:val="28"/>
          <w:szCs w:val="28"/>
        </w:rPr>
      </w:pPr>
    </w:p>
    <w:p w:rsidR="003F2374" w:rsidRDefault="00BE4BCC" w:rsidP="00BE4BCC">
      <w:pPr>
        <w:widowControl w:val="0"/>
        <w:autoSpaceDE w:val="0"/>
        <w:autoSpaceDN w:val="0"/>
        <w:adjustRightInd w:val="0"/>
        <w:ind w:right="-61" w:firstLine="720"/>
        <w:jc w:val="both"/>
        <w:rPr>
          <w:lang w:val="uk-UA"/>
        </w:rPr>
      </w:pPr>
      <w:r>
        <w:rPr>
          <w:szCs w:val="28"/>
          <w:lang w:val="uk-UA"/>
        </w:rPr>
        <w:t xml:space="preserve">Визначити спосіб участі </w:t>
      </w:r>
      <w:r w:rsidR="0018631F">
        <w:rPr>
          <w:b/>
          <w:lang w:val="uk-UA"/>
        </w:rPr>
        <w:t>ОСОБА_1</w:t>
      </w:r>
      <w:r>
        <w:rPr>
          <w:b/>
          <w:lang w:val="uk-UA"/>
        </w:rPr>
        <w:t xml:space="preserve"> </w:t>
      </w:r>
      <w:r>
        <w:rPr>
          <w:lang w:val="uk-UA"/>
        </w:rPr>
        <w:t>у вихованні до</w:t>
      </w:r>
      <w:r w:rsidR="00D70C93">
        <w:rPr>
          <w:lang w:val="uk-UA"/>
        </w:rPr>
        <w:t>нь</w:t>
      </w:r>
      <w:r>
        <w:rPr>
          <w:lang w:val="uk-UA"/>
        </w:rPr>
        <w:t xml:space="preserve">ки, </w:t>
      </w:r>
      <w:r w:rsidR="0018631F">
        <w:rPr>
          <w:sz w:val="26"/>
          <w:szCs w:val="26"/>
          <w:lang w:val="uk-UA"/>
        </w:rPr>
        <w:t>ОСОБА_2</w:t>
      </w:r>
      <w:r w:rsidR="003F2374">
        <w:rPr>
          <w:sz w:val="26"/>
          <w:szCs w:val="26"/>
          <w:lang w:val="uk-UA"/>
        </w:rPr>
        <w:t xml:space="preserve">, </w:t>
      </w:r>
      <w:r w:rsidR="0018631F">
        <w:rPr>
          <w:sz w:val="26"/>
          <w:szCs w:val="26"/>
          <w:lang w:val="uk-UA"/>
        </w:rPr>
        <w:t>ДАТА_1</w:t>
      </w:r>
      <w:r>
        <w:rPr>
          <w:sz w:val="26"/>
          <w:szCs w:val="26"/>
          <w:lang w:val="uk-UA"/>
        </w:rPr>
        <w:t xml:space="preserve"> </w:t>
      </w:r>
      <w:r w:rsidRPr="00BE4BCC">
        <w:rPr>
          <w:lang w:val="uk-UA"/>
        </w:rPr>
        <w:t>року</w:t>
      </w:r>
      <w:r>
        <w:rPr>
          <w:lang w:val="uk-UA"/>
        </w:rPr>
        <w:t xml:space="preserve"> народження, у формі систематичних побачень з дитиною, а саме: </w:t>
      </w:r>
    </w:p>
    <w:p w:rsidR="003F2374" w:rsidRDefault="003F2374" w:rsidP="003F2374">
      <w:pPr>
        <w:pStyle w:val="a9"/>
        <w:widowControl w:val="0"/>
        <w:numPr>
          <w:ilvl w:val="0"/>
          <w:numId w:val="1"/>
        </w:numPr>
        <w:autoSpaceDE w:val="0"/>
        <w:autoSpaceDN w:val="0"/>
        <w:adjustRightInd w:val="0"/>
        <w:ind w:right="-61"/>
        <w:jc w:val="both"/>
        <w:rPr>
          <w:lang w:val="uk-UA"/>
        </w:rPr>
      </w:pPr>
      <w:r>
        <w:rPr>
          <w:lang w:val="uk-UA"/>
        </w:rPr>
        <w:t>к</w:t>
      </w:r>
      <w:r w:rsidR="00BE4BCC" w:rsidRPr="003F2374">
        <w:rPr>
          <w:lang w:val="uk-UA"/>
        </w:rPr>
        <w:t>ожно</w:t>
      </w:r>
      <w:r>
        <w:rPr>
          <w:lang w:val="uk-UA"/>
        </w:rPr>
        <w:t>ї суботи або неділі</w:t>
      </w:r>
      <w:r w:rsidR="00BE4BCC" w:rsidRPr="003F2374">
        <w:rPr>
          <w:lang w:val="uk-UA"/>
        </w:rPr>
        <w:t xml:space="preserve"> з 1</w:t>
      </w:r>
      <w:r>
        <w:rPr>
          <w:lang w:val="uk-UA"/>
        </w:rPr>
        <w:t>5:</w:t>
      </w:r>
      <w:r w:rsidR="00BE4BCC" w:rsidRPr="003F2374">
        <w:rPr>
          <w:lang w:val="uk-UA"/>
        </w:rPr>
        <w:t>00</w:t>
      </w:r>
      <w:r>
        <w:rPr>
          <w:lang w:val="uk-UA"/>
        </w:rPr>
        <w:t xml:space="preserve"> години</w:t>
      </w:r>
      <w:r w:rsidR="00BE4BCC" w:rsidRPr="003F2374">
        <w:rPr>
          <w:lang w:val="uk-UA"/>
        </w:rPr>
        <w:t xml:space="preserve"> до 1</w:t>
      </w:r>
      <w:r>
        <w:rPr>
          <w:lang w:val="uk-UA"/>
        </w:rPr>
        <w:t>9:</w:t>
      </w:r>
      <w:r w:rsidR="00BE4BCC" w:rsidRPr="003F2374">
        <w:rPr>
          <w:lang w:val="uk-UA"/>
        </w:rPr>
        <w:t>00</w:t>
      </w:r>
      <w:r>
        <w:rPr>
          <w:lang w:val="uk-UA"/>
        </w:rPr>
        <w:t xml:space="preserve"> години;</w:t>
      </w:r>
      <w:r w:rsidR="00BE4BCC" w:rsidRPr="003F2374">
        <w:rPr>
          <w:lang w:val="uk-UA"/>
        </w:rPr>
        <w:t xml:space="preserve"> </w:t>
      </w:r>
    </w:p>
    <w:p w:rsidR="00BE4BCC" w:rsidRDefault="00D70C93" w:rsidP="003F2374">
      <w:pPr>
        <w:pStyle w:val="a9"/>
        <w:widowControl w:val="0"/>
        <w:numPr>
          <w:ilvl w:val="0"/>
          <w:numId w:val="1"/>
        </w:numPr>
        <w:autoSpaceDE w:val="0"/>
        <w:autoSpaceDN w:val="0"/>
        <w:adjustRightInd w:val="0"/>
        <w:ind w:right="-61"/>
        <w:jc w:val="both"/>
        <w:rPr>
          <w:lang w:val="uk-UA"/>
        </w:rPr>
      </w:pPr>
      <w:r w:rsidRPr="003F2374">
        <w:rPr>
          <w:lang w:val="uk-UA"/>
        </w:rPr>
        <w:t>кожно</w:t>
      </w:r>
      <w:r w:rsidR="003F2374">
        <w:rPr>
          <w:lang w:val="uk-UA"/>
        </w:rPr>
        <w:t>го</w:t>
      </w:r>
      <w:r w:rsidRPr="003F2374">
        <w:rPr>
          <w:lang w:val="uk-UA"/>
        </w:rPr>
        <w:t xml:space="preserve"> </w:t>
      </w:r>
      <w:r w:rsidR="003F2374">
        <w:rPr>
          <w:lang w:val="uk-UA"/>
        </w:rPr>
        <w:t>четверга</w:t>
      </w:r>
      <w:r w:rsidR="00BE4BCC" w:rsidRPr="003F2374">
        <w:rPr>
          <w:lang w:val="uk-UA"/>
        </w:rPr>
        <w:t xml:space="preserve"> з </w:t>
      </w:r>
      <w:r w:rsidR="002B4F2C" w:rsidRPr="003F2374">
        <w:rPr>
          <w:lang w:val="uk-UA"/>
        </w:rPr>
        <w:t>1</w:t>
      </w:r>
      <w:r w:rsidR="003F2374">
        <w:rPr>
          <w:lang w:val="uk-UA"/>
        </w:rPr>
        <w:t>7:</w:t>
      </w:r>
      <w:r w:rsidR="00BE4BCC" w:rsidRPr="003F2374">
        <w:rPr>
          <w:lang w:val="uk-UA"/>
        </w:rPr>
        <w:t>00</w:t>
      </w:r>
      <w:r w:rsidR="003F2374">
        <w:rPr>
          <w:lang w:val="uk-UA"/>
        </w:rPr>
        <w:t xml:space="preserve"> години</w:t>
      </w:r>
      <w:r w:rsidR="00BE4BCC" w:rsidRPr="003F2374">
        <w:rPr>
          <w:lang w:val="uk-UA"/>
        </w:rPr>
        <w:t xml:space="preserve"> до </w:t>
      </w:r>
      <w:r w:rsidR="002B4F2C" w:rsidRPr="003F2374">
        <w:rPr>
          <w:lang w:val="uk-UA"/>
        </w:rPr>
        <w:t>1</w:t>
      </w:r>
      <w:r w:rsidR="003F2374">
        <w:rPr>
          <w:lang w:val="uk-UA"/>
        </w:rPr>
        <w:t>9:00 години;</w:t>
      </w:r>
    </w:p>
    <w:p w:rsidR="003F2374" w:rsidRPr="003F2374" w:rsidRDefault="003F2374" w:rsidP="003F2374">
      <w:pPr>
        <w:pStyle w:val="a9"/>
        <w:widowControl w:val="0"/>
        <w:numPr>
          <w:ilvl w:val="0"/>
          <w:numId w:val="1"/>
        </w:numPr>
        <w:autoSpaceDE w:val="0"/>
        <w:autoSpaceDN w:val="0"/>
        <w:adjustRightInd w:val="0"/>
        <w:ind w:right="-61"/>
        <w:jc w:val="both"/>
        <w:rPr>
          <w:lang w:val="uk-UA"/>
        </w:rPr>
      </w:pPr>
      <w:r>
        <w:rPr>
          <w:lang w:val="uk-UA"/>
        </w:rPr>
        <w:t>один робочий день у тиждень за домовленістю між батьками з 17:00 години до 19:00 години.</w:t>
      </w:r>
    </w:p>
    <w:p w:rsidR="00BE4BCC" w:rsidRDefault="00BE4BCC" w:rsidP="00BE4BCC">
      <w:pPr>
        <w:pStyle w:val="a3"/>
        <w:ind w:right="-1" w:firstLine="567"/>
        <w:jc w:val="both"/>
        <w:rPr>
          <w:sz w:val="28"/>
          <w:szCs w:val="26"/>
        </w:rPr>
      </w:pPr>
      <w:r>
        <w:rPr>
          <w:sz w:val="28"/>
          <w:szCs w:val="26"/>
        </w:rPr>
        <w:t>Зустрічі проводити за попередньою домовленістю з матір’ю дитини, з урахуванням бажання та стану здоров’я до</w:t>
      </w:r>
      <w:r w:rsidR="00D70C93">
        <w:rPr>
          <w:sz w:val="28"/>
          <w:szCs w:val="26"/>
        </w:rPr>
        <w:t>нь</w:t>
      </w:r>
      <w:r>
        <w:rPr>
          <w:sz w:val="28"/>
          <w:szCs w:val="26"/>
        </w:rPr>
        <w:t xml:space="preserve">ки, інших обставин, що мають істотне значення. </w:t>
      </w:r>
    </w:p>
    <w:p w:rsidR="00BE4BCC" w:rsidRDefault="00BE4BCC" w:rsidP="00BE4BCC">
      <w:pPr>
        <w:widowControl w:val="0"/>
        <w:autoSpaceDE w:val="0"/>
        <w:autoSpaceDN w:val="0"/>
        <w:adjustRightInd w:val="0"/>
        <w:ind w:right="-61" w:firstLine="720"/>
        <w:jc w:val="both"/>
        <w:rPr>
          <w:sz w:val="32"/>
          <w:lang w:val="uk-UA"/>
        </w:rPr>
      </w:pPr>
    </w:p>
    <w:p w:rsidR="00BE4BCC" w:rsidRDefault="00BE4BCC" w:rsidP="00BE4BCC">
      <w:pPr>
        <w:widowControl w:val="0"/>
        <w:autoSpaceDE w:val="0"/>
        <w:autoSpaceDN w:val="0"/>
        <w:adjustRightInd w:val="0"/>
        <w:ind w:right="-61" w:firstLine="720"/>
        <w:jc w:val="both"/>
        <w:rPr>
          <w:color w:val="333333"/>
          <w:szCs w:val="28"/>
          <w:lang w:val="uk-UA"/>
        </w:rPr>
      </w:pPr>
    </w:p>
    <w:p w:rsidR="00BE4BCC" w:rsidRDefault="00BE4BCC" w:rsidP="00BE4BCC">
      <w:pPr>
        <w:widowControl w:val="0"/>
        <w:autoSpaceDE w:val="0"/>
        <w:autoSpaceDN w:val="0"/>
        <w:adjustRightInd w:val="0"/>
        <w:ind w:right="-61" w:firstLine="720"/>
        <w:jc w:val="both"/>
        <w:rPr>
          <w:color w:val="333333"/>
          <w:szCs w:val="28"/>
          <w:lang w:val="uk-UA"/>
        </w:rPr>
      </w:pPr>
    </w:p>
    <w:p w:rsidR="00BE4BCC" w:rsidRDefault="00BE4BCC" w:rsidP="00BE4BCC">
      <w:pPr>
        <w:widowControl w:val="0"/>
        <w:autoSpaceDE w:val="0"/>
        <w:autoSpaceDN w:val="0"/>
        <w:adjustRightInd w:val="0"/>
        <w:ind w:right="-61" w:firstLine="720"/>
        <w:jc w:val="both"/>
        <w:rPr>
          <w:b/>
          <w:bCs/>
          <w:color w:val="333333"/>
          <w:szCs w:val="28"/>
          <w:lang w:val="uk-UA"/>
        </w:rPr>
      </w:pPr>
    </w:p>
    <w:p w:rsidR="00BE4BCC" w:rsidRDefault="00BE4BCC" w:rsidP="00BE4BCC">
      <w:pPr>
        <w:pStyle w:val="a3"/>
        <w:pBdr>
          <w:bottom w:val="single" w:sz="18" w:space="1" w:color="auto"/>
        </w:pBdr>
        <w:tabs>
          <w:tab w:val="left" w:pos="7770"/>
        </w:tabs>
        <w:ind w:right="0"/>
        <w:outlineLvl w:val="0"/>
        <w:rPr>
          <w:sz w:val="28"/>
          <w:szCs w:val="28"/>
        </w:rPr>
      </w:pPr>
      <w:r>
        <w:rPr>
          <w:b/>
          <w:sz w:val="28"/>
          <w:szCs w:val="28"/>
        </w:rPr>
        <w:t>Міський голова                                                                            О.М. Лисенко</w:t>
      </w:r>
    </w:p>
    <w:p w:rsidR="00BE4BCC" w:rsidRDefault="00BE4BCC" w:rsidP="00BE4BCC">
      <w:pPr>
        <w:pStyle w:val="a3"/>
        <w:pBdr>
          <w:bottom w:val="single" w:sz="18" w:space="1" w:color="auto"/>
        </w:pBdr>
        <w:ind w:right="0"/>
        <w:rPr>
          <w:color w:val="333333"/>
          <w:sz w:val="24"/>
          <w:szCs w:val="24"/>
        </w:rPr>
      </w:pPr>
    </w:p>
    <w:p w:rsidR="003F2374" w:rsidRDefault="003F2374" w:rsidP="00BE4BCC">
      <w:pPr>
        <w:pStyle w:val="a3"/>
        <w:pBdr>
          <w:bottom w:val="single" w:sz="18" w:space="1" w:color="auto"/>
        </w:pBdr>
        <w:ind w:right="0"/>
        <w:rPr>
          <w:color w:val="333333"/>
          <w:sz w:val="24"/>
          <w:szCs w:val="24"/>
        </w:rPr>
      </w:pPr>
    </w:p>
    <w:p w:rsidR="00BE4BCC" w:rsidRDefault="00BE4BCC" w:rsidP="00BE4BCC">
      <w:pPr>
        <w:pStyle w:val="a3"/>
        <w:pBdr>
          <w:bottom w:val="single" w:sz="18" w:space="1" w:color="auto"/>
        </w:pBdr>
        <w:ind w:right="0"/>
        <w:rPr>
          <w:color w:val="333333"/>
          <w:sz w:val="2"/>
          <w:szCs w:val="24"/>
        </w:rPr>
      </w:pPr>
    </w:p>
    <w:p w:rsidR="00BE4BCC" w:rsidRDefault="00BE4BCC" w:rsidP="00BE4BCC">
      <w:pPr>
        <w:pStyle w:val="a3"/>
        <w:pBdr>
          <w:bottom w:val="single" w:sz="18" w:space="1" w:color="auto"/>
        </w:pBdr>
        <w:ind w:right="0"/>
        <w:rPr>
          <w:color w:val="333333"/>
          <w:sz w:val="24"/>
          <w:szCs w:val="24"/>
        </w:rPr>
      </w:pPr>
      <w:r>
        <w:rPr>
          <w:color w:val="333333"/>
          <w:sz w:val="24"/>
          <w:szCs w:val="24"/>
        </w:rPr>
        <w:t>Подопригора 701-915</w:t>
      </w:r>
    </w:p>
    <w:p w:rsidR="00BE4BCC" w:rsidRDefault="00BE4BCC" w:rsidP="00BE4BCC">
      <w:pPr>
        <w:jc w:val="both"/>
        <w:rPr>
          <w:sz w:val="24"/>
          <w:lang w:val="uk-UA"/>
        </w:rPr>
      </w:pPr>
      <w:r>
        <w:rPr>
          <w:sz w:val="24"/>
          <w:lang w:val="uk-UA"/>
        </w:rPr>
        <w:t>Надіслати: Подопригорі В.В. - 3 екз.</w:t>
      </w:r>
    </w:p>
    <w:p w:rsidR="00BE4BCC" w:rsidRDefault="00BE4BCC" w:rsidP="00BE4BCC">
      <w:pPr>
        <w:jc w:val="both"/>
        <w:rPr>
          <w:sz w:val="24"/>
          <w:lang w:val="uk-UA"/>
        </w:rPr>
      </w:pPr>
    </w:p>
    <w:p w:rsidR="00BE4BCC" w:rsidRDefault="00BE4BCC" w:rsidP="00BE4BCC">
      <w:pPr>
        <w:rPr>
          <w:lang w:val="uk-UA"/>
        </w:rPr>
      </w:pPr>
    </w:p>
    <w:p w:rsidR="0018631F" w:rsidRDefault="0018631F" w:rsidP="00BE4BCC">
      <w:pPr>
        <w:rPr>
          <w:lang w:val="uk-UA"/>
        </w:rPr>
      </w:pPr>
    </w:p>
    <w:p w:rsidR="00BE4BCC" w:rsidRDefault="00BE4BCC" w:rsidP="00BE4BCC">
      <w:pPr>
        <w:rPr>
          <w:lang w:val="uk-UA"/>
        </w:rPr>
      </w:pPr>
    </w:p>
    <w:sectPr w:rsidR="00BE4BCC" w:rsidSect="003F237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128C"/>
    <w:multiLevelType w:val="hybridMultilevel"/>
    <w:tmpl w:val="9DD69B96"/>
    <w:lvl w:ilvl="0" w:tplc="21F2AB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77"/>
    <w:rsid w:val="000975D1"/>
    <w:rsid w:val="00145BDC"/>
    <w:rsid w:val="0018631F"/>
    <w:rsid w:val="00203377"/>
    <w:rsid w:val="002B4F2C"/>
    <w:rsid w:val="003E11CF"/>
    <w:rsid w:val="003F2374"/>
    <w:rsid w:val="00446FF8"/>
    <w:rsid w:val="006F46F7"/>
    <w:rsid w:val="00903B09"/>
    <w:rsid w:val="00A03CA9"/>
    <w:rsid w:val="00B71740"/>
    <w:rsid w:val="00BE4BCC"/>
    <w:rsid w:val="00D70C93"/>
    <w:rsid w:val="00F0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5D02"/>
  <w15:chartTrackingRefBased/>
  <w15:docId w15:val="{0336B6AD-D22D-4F63-8727-B617C2D7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BC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E4BCC"/>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BCC"/>
    <w:rPr>
      <w:rFonts w:ascii="Times New Roman" w:eastAsia="Times New Roman" w:hAnsi="Times New Roman" w:cs="Times New Roman"/>
      <w:b/>
      <w:sz w:val="36"/>
      <w:szCs w:val="32"/>
      <w:lang w:val="uk-UA" w:eastAsia="ru-RU"/>
    </w:rPr>
  </w:style>
  <w:style w:type="paragraph" w:styleId="a3">
    <w:name w:val="Body Text"/>
    <w:basedOn w:val="a"/>
    <w:link w:val="a4"/>
    <w:semiHidden/>
    <w:unhideWhenUsed/>
    <w:rsid w:val="00BE4BCC"/>
    <w:pPr>
      <w:ind w:right="6093"/>
    </w:pPr>
    <w:rPr>
      <w:sz w:val="26"/>
      <w:szCs w:val="20"/>
      <w:lang w:val="uk-UA"/>
    </w:rPr>
  </w:style>
  <w:style w:type="character" w:customStyle="1" w:styleId="a4">
    <w:name w:val="Основной текст Знак"/>
    <w:basedOn w:val="a0"/>
    <w:link w:val="a3"/>
    <w:semiHidden/>
    <w:rsid w:val="00BE4BCC"/>
    <w:rPr>
      <w:rFonts w:ascii="Times New Roman" w:eastAsia="Times New Roman" w:hAnsi="Times New Roman" w:cs="Times New Roman"/>
      <w:sz w:val="26"/>
      <w:szCs w:val="20"/>
      <w:lang w:val="uk-UA" w:eastAsia="ru-RU"/>
    </w:rPr>
  </w:style>
  <w:style w:type="paragraph" w:styleId="a5">
    <w:name w:val="header"/>
    <w:basedOn w:val="a"/>
    <w:link w:val="a6"/>
    <w:rsid w:val="006F46F7"/>
    <w:pPr>
      <w:tabs>
        <w:tab w:val="center" w:pos="4677"/>
        <w:tab w:val="right" w:pos="9355"/>
      </w:tabs>
      <w:jc w:val="both"/>
    </w:pPr>
    <w:rPr>
      <w:sz w:val="24"/>
      <w:szCs w:val="20"/>
    </w:rPr>
  </w:style>
  <w:style w:type="character" w:customStyle="1" w:styleId="a6">
    <w:name w:val="Верхний колонтитул Знак"/>
    <w:basedOn w:val="a0"/>
    <w:link w:val="a5"/>
    <w:rsid w:val="006F46F7"/>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D70C93"/>
    <w:rPr>
      <w:rFonts w:ascii="Segoe UI" w:hAnsi="Segoe UI" w:cs="Segoe UI"/>
      <w:sz w:val="18"/>
      <w:szCs w:val="18"/>
    </w:rPr>
  </w:style>
  <w:style w:type="character" w:customStyle="1" w:styleId="a8">
    <w:name w:val="Текст выноски Знак"/>
    <w:basedOn w:val="a0"/>
    <w:link w:val="a7"/>
    <w:uiPriority w:val="99"/>
    <w:semiHidden/>
    <w:rsid w:val="00D70C93"/>
    <w:rPr>
      <w:rFonts w:ascii="Segoe UI" w:eastAsia="Times New Roman" w:hAnsi="Segoe UI" w:cs="Segoe UI"/>
      <w:sz w:val="18"/>
      <w:szCs w:val="18"/>
      <w:lang w:eastAsia="ru-RU"/>
    </w:rPr>
  </w:style>
  <w:style w:type="paragraph" w:styleId="a9">
    <w:name w:val="List Paragraph"/>
    <w:basedOn w:val="a"/>
    <w:uiPriority w:val="34"/>
    <w:qFormat/>
    <w:rsid w:val="003F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A960-07BE-4B14-9FD8-DA95BD27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7</cp:revision>
  <cp:lastPrinted>2020-11-27T09:14:00Z</cp:lastPrinted>
  <dcterms:created xsi:type="dcterms:W3CDTF">2020-11-27T09:03:00Z</dcterms:created>
  <dcterms:modified xsi:type="dcterms:W3CDTF">2020-12-07T07:46:00Z</dcterms:modified>
</cp:coreProperties>
</file>