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45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5386"/>
        <w:gridCol w:w="4253"/>
        <w:gridCol w:w="4253"/>
      </w:tblGrid>
      <w:tr w:rsidR="00D061F2" w:rsidRPr="005454C7" w:rsidTr="00D061F2">
        <w:trPr>
          <w:jc w:val="center"/>
        </w:trPr>
        <w:tc>
          <w:tcPr>
            <w:tcW w:w="4253" w:type="dxa"/>
          </w:tcPr>
          <w:p w:rsidR="00D061F2" w:rsidRPr="005454C7" w:rsidRDefault="00D061F2" w:rsidP="00D061F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</w:tcPr>
          <w:p w:rsidR="00D061F2" w:rsidRPr="005454C7" w:rsidRDefault="00D061F2" w:rsidP="00D061F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firstLine="38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F218FC" wp14:editId="1CB52941">
                  <wp:extent cx="433705" cy="611505"/>
                  <wp:effectExtent l="0" t="0" r="444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1F2" w:rsidRPr="005454C7" w:rsidRDefault="00D061F2" w:rsidP="00D061F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firstLine="38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:rsidR="00D061F2" w:rsidRPr="00D061F2" w:rsidRDefault="00D061F2" w:rsidP="00D061F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firstLine="7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D061F2" w:rsidRPr="00D061F2" w:rsidRDefault="00D061F2" w:rsidP="00D0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454C7" w:rsidRPr="005454C7" w:rsidRDefault="005454C7" w:rsidP="00545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454C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5454C7" w:rsidRPr="005454C7" w:rsidRDefault="005454C7" w:rsidP="00545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454C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5454C7" w:rsidRPr="005454C7" w:rsidRDefault="005454C7" w:rsidP="0054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5454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РІШЕННЯ</w:t>
      </w:r>
    </w:p>
    <w:p w:rsidR="005454C7" w:rsidRPr="005454C7" w:rsidRDefault="005454C7" w:rsidP="00545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5246"/>
      </w:tblGrid>
      <w:tr w:rsidR="005454C7" w:rsidRPr="002546D4" w:rsidTr="005941C8">
        <w:trPr>
          <w:trHeight w:val="415"/>
        </w:trPr>
        <w:tc>
          <w:tcPr>
            <w:tcW w:w="5246" w:type="dxa"/>
          </w:tcPr>
          <w:p w:rsidR="005454C7" w:rsidRPr="005454C7" w:rsidRDefault="005454C7" w:rsidP="002546D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30"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EB27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546D4" w:rsidRPr="002546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18</w:t>
            </w:r>
            <w:r w:rsidR="002546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.11.2020</w:t>
            </w:r>
            <w:r w:rsidR="00C166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№  </w:t>
            </w:r>
            <w:r w:rsidR="002546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549</w:t>
            </w:r>
          </w:p>
        </w:tc>
      </w:tr>
      <w:tr w:rsidR="005454C7" w:rsidRPr="002546D4" w:rsidTr="005941C8">
        <w:trPr>
          <w:trHeight w:val="1330"/>
        </w:trPr>
        <w:tc>
          <w:tcPr>
            <w:tcW w:w="5246" w:type="dxa"/>
          </w:tcPr>
          <w:p w:rsidR="005454C7" w:rsidRDefault="005454C7" w:rsidP="005454C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142" w:righ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7919EE" w:rsidRPr="005454C7" w:rsidRDefault="007919EE" w:rsidP="005454C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142" w:righ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454C7" w:rsidRPr="005454C7" w:rsidRDefault="005454C7" w:rsidP="00D061F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142" w:right="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Сумської міської ради від </w:t>
            </w:r>
            <w:r w:rsidRPr="005454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08.09.2020 № 454</w:t>
            </w:r>
            <w:r w:rsidRPr="00545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«Про узгодження профілактичних та протиепідемічних заходів при здійсненні інспектування державними соціальними інспекторами домогосподарств Сумської </w:t>
            </w:r>
            <w:r w:rsidR="00EC5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міської територіальної </w:t>
            </w:r>
            <w:r w:rsidRPr="005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громади</w:t>
            </w:r>
            <w:r w:rsidRPr="00545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  <w:r w:rsidR="006E31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(зі змінами та доповненнями)</w:t>
            </w:r>
          </w:p>
        </w:tc>
      </w:tr>
    </w:tbl>
    <w:p w:rsidR="005454C7" w:rsidRDefault="005454C7" w:rsidP="00545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9EE" w:rsidRPr="005454C7" w:rsidRDefault="007919EE" w:rsidP="00545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7B01B6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</w:t>
      </w:r>
      <w:r w:rsidR="00164AB8" w:rsidRPr="007B0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64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прийняттям</w:t>
      </w:r>
      <w:r w:rsidR="00913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3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</w:t>
      </w:r>
      <w:r w:rsidR="00164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Кабінету Міністрів України від 11.11.2020 № 1100 «</w:t>
      </w:r>
      <w:r w:rsidR="00164AB8" w:rsidRPr="00164A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внесення змін до постанови Кабінету Мініст</w:t>
      </w:r>
      <w:r w:rsidR="00164A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рів України від 22.07.2020</w:t>
      </w:r>
      <w:r w:rsidR="00164AB8" w:rsidRPr="00164A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 641</w:t>
      </w:r>
      <w:r w:rsidR="00164A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7B01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B56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метою </w:t>
      </w:r>
      <w:r w:rsidR="00B669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реалізації гарантованого права мешканців громади на соціальний захист, зокрема на отримання окремих видів соціальних виплат </w:t>
      </w:r>
      <w:r w:rsidR="007B0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допомоги</w:t>
      </w:r>
      <w:r w:rsidR="00C16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визначення права на які забезпечується через колегіальний розгляд спеціально створеною комісією,</w:t>
      </w:r>
      <w:r w:rsidR="00345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</w:t>
      </w:r>
      <w:r w:rsidR="00963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45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мовою рішень якої є складений акт державного соціального інспектора департаменту соціального захисту населення Сумської міської ради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5454C7" w:rsidRPr="005454C7" w:rsidRDefault="005454C7" w:rsidP="0054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5454C7" w:rsidRPr="005454C7" w:rsidRDefault="005454C7" w:rsidP="0054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1.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Унести зміни до рішення виконавчого комітету Сумської міської ради від 08.09.2020 № 454 «Про узгодження профілактичних та протиепідемічних заходів при здійсненні інспектування державними соціальними інспекторами домогосподарств Сумської </w:t>
      </w:r>
      <w:r w:rsidR="006E31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міської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територіальної громади»</w:t>
      </w:r>
      <w:r w:rsidR="006E31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(зі змінами та доповненнями)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, а саме:</w:t>
      </w:r>
    </w:p>
    <w:p w:rsidR="005454C7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</w:p>
    <w:p w:rsidR="00E02BF0" w:rsidRDefault="00E02BF0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E02BF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lastRenderedPageBreak/>
        <w:t>1.1</w:t>
      </w:r>
      <w:r w:rsidR="00D061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.</w:t>
      </w:r>
      <w:r w:rsidRPr="00E02BF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Пункт 2 рішення</w:t>
      </w:r>
      <w:r w:rsidR="00992A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виключити, відповідно пункти 3 -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="006F43B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6</w:t>
      </w:r>
      <w:r w:rsidR="00992A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вважати пунктами 2 -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="006F43B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.</w:t>
      </w:r>
    </w:p>
    <w:p w:rsidR="00E02BF0" w:rsidRPr="005454C7" w:rsidRDefault="00E02BF0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</w:p>
    <w:p w:rsidR="005454C7" w:rsidRPr="005454C7" w:rsidRDefault="00E02BF0" w:rsidP="005454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ab/>
        <w:t>1.2</w:t>
      </w:r>
      <w:r w:rsidR="005454C7" w:rsidRPr="005454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Викласти</w:t>
      </w:r>
      <w:r w:rsidR="005454C7"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="00150F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пункти 2, 3</w:t>
      </w:r>
      <w:r w:rsidR="004372A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="005454C7"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рішення </w:t>
      </w:r>
      <w:r w:rsidR="00C0797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в наступній редакції</w:t>
      </w:r>
      <w:r w:rsidR="005454C7"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:</w:t>
      </w: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ab/>
        <w:t>«</w:t>
      </w:r>
      <w:r w:rsidR="00963B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2</w:t>
      </w: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.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У період </w:t>
      </w:r>
      <w:r w:rsidR="00C761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карантину</w:t>
      </w:r>
      <w:r w:rsidR="00C761CF" w:rsidRPr="00C31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, встановленого постановами Кабінету Міністрі</w:t>
      </w:r>
      <w:r w:rsidR="00C31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в України від 11.03.2020 </w:t>
      </w:r>
      <w:r w:rsidR="00C761CF" w:rsidRPr="00C31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№ 211</w:t>
      </w:r>
      <w:r w:rsidR="00C31DD2" w:rsidRPr="00C31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="00C31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«</w:t>
      </w:r>
      <w:r w:rsidR="00C761CF" w:rsidRPr="00C31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Про запобігання поширенню на території України гострої респіраторної хвороби </w:t>
      </w:r>
      <w:r w:rsidR="00C761CF" w:rsidRPr="00C761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COVID</w:t>
      </w:r>
      <w:r w:rsidR="00C761CF" w:rsidRPr="00C31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-19, спричиненої </w:t>
      </w:r>
      <w:proofErr w:type="spellStart"/>
      <w:r w:rsidR="00C761CF" w:rsidRPr="00C31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коронавірусом</w:t>
      </w:r>
      <w:proofErr w:type="spellEnd"/>
      <w:r w:rsidR="00C761CF" w:rsidRPr="00C31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="00C761CF" w:rsidRPr="00C761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SARS</w:t>
      </w:r>
      <w:r w:rsidR="00C761CF" w:rsidRPr="00C31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-</w:t>
      </w:r>
      <w:proofErr w:type="spellStart"/>
      <w:r w:rsidR="00C761CF" w:rsidRPr="00C761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CoV</w:t>
      </w:r>
      <w:proofErr w:type="spellEnd"/>
      <w:r w:rsidR="00C31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-2»</w:t>
      </w:r>
      <w:r w:rsidR="00C761CF" w:rsidRPr="00C31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="008D070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(зі змінами) </w:t>
      </w:r>
      <w:r w:rsidR="00C31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та від 20.05.2020 </w:t>
      </w:r>
      <w:r w:rsidR="00C761CF" w:rsidRPr="00C31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№ 392</w:t>
      </w:r>
      <w:r w:rsidR="00C31DD2" w:rsidRPr="00C31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="00C31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«</w:t>
      </w:r>
      <w:r w:rsidR="00C761CF" w:rsidRPr="00C31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Про встановлення карантину з метою запобігання поширенню на території України гострої респіраторної хвороби </w:t>
      </w:r>
      <w:r w:rsidR="00C761CF" w:rsidRPr="00C761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COVID</w:t>
      </w:r>
      <w:r w:rsidR="00C761CF" w:rsidRPr="00C31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-19, спричиненої </w:t>
      </w:r>
      <w:proofErr w:type="spellStart"/>
      <w:r w:rsidR="00C761CF" w:rsidRPr="00C31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коронавірусом</w:t>
      </w:r>
      <w:proofErr w:type="spellEnd"/>
      <w:r w:rsidR="00C761CF" w:rsidRPr="00C31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="00C761CF" w:rsidRPr="00C761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SARS</w:t>
      </w:r>
      <w:r w:rsidR="00C761CF" w:rsidRPr="00C31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-</w:t>
      </w:r>
      <w:proofErr w:type="spellStart"/>
      <w:r w:rsidR="00C761CF" w:rsidRPr="00C761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CoV</w:t>
      </w:r>
      <w:proofErr w:type="spellEnd"/>
      <w:r w:rsidR="00C31D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-2»</w:t>
      </w:r>
      <w:r w:rsidR="00E855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="008D070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(зі змінами) </w:t>
      </w:r>
      <w:r w:rsidR="00D061F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              </w:t>
      </w:r>
      <w:r w:rsidR="00E855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(далі</w:t>
      </w:r>
      <w:r w:rsidR="00D061F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- </w:t>
      </w:r>
      <w:r w:rsidR="00E855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карантин)</w:t>
      </w:r>
      <w:r w:rsidR="00C438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державним соціальним інспекторам департаменту соціального захисту н</w:t>
      </w:r>
      <w:r w:rsidR="007919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аселення Сумської міської ради (</w:t>
      </w:r>
      <w:r w:rsidR="00C438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далі </w:t>
      </w:r>
      <w:r w:rsidR="005D5151" w:rsidRPr="005D5151">
        <w:rPr>
          <w:rFonts w:ascii="Times New Roman" w:hAnsi="Times New Roman" w:cs="Times New Roman"/>
          <w:sz w:val="28"/>
          <w:szCs w:val="28"/>
          <w:lang w:val="uk-UA"/>
        </w:rPr>
        <w:t>по тексту цього рішення – соціальні інспектори у відповідному відмінку</w:t>
      </w:r>
      <w:r w:rsidR="007919E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D515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,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без відвідування домогосподарств Сумської міської територіальної громади, складати акти обстеження матеріально-побутових умов сім’ї на підставі інформації від заявників, зазначеної ними в окремо поданій заяві, згідно із формою, що встановлена департаментом соціального захисту населення Сумської міської ради, про наявність/відсутність та дійсність обставин, які впливають на призначення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житлової субсидії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, у зв’язку з чим комісії забезпечити розгляд та вирішення по суті порушених заявниками питань на підставі цих актів, а департаменту соціального захисту населення Сумської міської ради здійснити процесуальне оформлення власних розпоряджень відповідно до прийнятих комісією рішень.</w:t>
      </w: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ab/>
      </w:r>
      <w:r w:rsidR="00CB56B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3</w:t>
      </w: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.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Після </w:t>
      </w:r>
      <w:r w:rsidR="00E855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припинення дії карантину</w:t>
      </w:r>
      <w:r w:rsidR="00D45E8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або</w:t>
      </w:r>
      <w:r w:rsidR="00AB2A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після</w:t>
      </w:r>
      <w:r w:rsidR="00D45E8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прийняття окремих рішень виконавчого комітету Сумської міської ради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, соціальним інспекторам забезпечити,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шляхом інспектування, 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перевірку достовірності інформації, надан</w:t>
      </w:r>
      <w:r w:rsidR="00CB56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ої заявниками згідно з пунктом 2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рішення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, для встановлення наявності/відсутності фактів недобросовісності (у розумінні статті 1215 Цивільного кодексу України) з боку набувачів житлової субсидії, свідченням чому є зазначення ними недостовірної інформації або не своєчасне повідомлення ними про наявність/припинення обставин, які впливають на призначення житлової субсидії, інших соціальних гарантій, право на які визначалось у спосіб згідно з цим рішенням.</w:t>
      </w:r>
      <w:r w:rsidR="00CE72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».</w:t>
      </w: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</w:p>
    <w:p w:rsidR="00F81BFC" w:rsidRDefault="005454C7" w:rsidP="00CB56B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ab/>
      </w: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1B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соціального захисту н</w:t>
      </w:r>
      <w:r w:rsidR="00791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аселення Сумської міської ради</w:t>
      </w:r>
      <w:r w:rsidR="00D06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1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791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Масік</w:t>
      </w:r>
      <w:proofErr w:type="spellEnd"/>
      <w:r w:rsidR="00791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Т.О.)</w:t>
      </w:r>
      <w:r w:rsidR="00E21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спільно із відділом охорони здоров’я Сумськ</w:t>
      </w:r>
      <w:r w:rsidR="00791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міської ради (Чумаченко О.Ю.) </w:t>
      </w:r>
      <w:r w:rsidR="00F81B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прийняття </w:t>
      </w:r>
      <w:r w:rsidR="0008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Урядом акту, яким буде встановлено</w:t>
      </w:r>
      <w:r w:rsidR="00A228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іншу форму карантину або відновлення дії адаптивного карантину із розмежуванням </w:t>
      </w:r>
      <w:r w:rsidR="000E73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рівнів</w:t>
      </w:r>
      <w:r w:rsidR="000E73CE"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епідемічної небезпеки поширення COVID-19</w:t>
      </w:r>
      <w:r w:rsidR="00A228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37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4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розглянути можливість</w:t>
      </w:r>
      <w:r w:rsidR="00877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4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ED6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внесенню</w:t>
      </w:r>
      <w:r w:rsidR="005E3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завершення дії карантину</w:t>
      </w:r>
      <w:r w:rsidR="00995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виконавчого комітету</w:t>
      </w:r>
      <w:r w:rsidR="00ED6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3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  <w:r w:rsidR="00ED6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пропозицій</w:t>
      </w:r>
      <w:r w:rsidR="00FF4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</w:t>
      </w:r>
      <w:r w:rsidR="005E3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4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відновленню виходу соціальних інспекторів</w:t>
      </w:r>
      <w:r w:rsidR="00ED6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F4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урахуванням актуального стану </w:t>
      </w:r>
      <w:r w:rsidR="00127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правового регулювання, </w:t>
      </w:r>
      <w:r w:rsidR="00FF4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</w:t>
      </w:r>
      <w:r w:rsidR="006E3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</w:t>
      </w:r>
      <w:r w:rsidR="006E3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епідемічної небезпеки на території громади</w:t>
      </w:r>
      <w:r w:rsidR="00ED6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27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потрібних </w:t>
      </w:r>
      <w:r w:rsidR="0012766F" w:rsidRPr="0012766F">
        <w:rPr>
          <w:rFonts w:ascii="Times New Roman" w:hAnsi="Times New Roman" w:cs="Times New Roman"/>
          <w:bCs/>
          <w:sz w:val="28"/>
          <w:szCs w:val="28"/>
          <w:lang w:val="uk-UA"/>
        </w:rPr>
        <w:t>профілактичних та протиепідемічних заходів при здійсненні інспектування</w:t>
      </w:r>
      <w:r w:rsidR="008774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проживання </w:t>
      </w:r>
      <w:r w:rsidR="00E951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мешканців </w:t>
      </w:r>
      <w:r w:rsidR="0087743D">
        <w:rPr>
          <w:rFonts w:ascii="Times New Roman" w:hAnsi="Times New Roman" w:cs="Times New Roman"/>
          <w:bCs/>
          <w:sz w:val="28"/>
          <w:szCs w:val="28"/>
          <w:lang w:val="uk-UA"/>
        </w:rPr>
        <w:t>громади</w:t>
      </w:r>
      <w:r w:rsidR="00ED6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F4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81BFC" w:rsidRDefault="00F81BFC" w:rsidP="00CB56B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D45E86" w:rsidP="00D45E8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5E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="006E3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54C7"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рішення набирає чинності з дня його оприлюднення на офіційному веб-сайті Сумської міської ради.</w:t>
      </w: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454C7" w:rsidRDefault="005454C7" w:rsidP="00545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919EE" w:rsidRDefault="007919EE" w:rsidP="00545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919EE" w:rsidRPr="005454C7" w:rsidRDefault="007919EE" w:rsidP="00545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C5027" w:rsidRDefault="000C5027" w:rsidP="000C5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Виконуючий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обов</w:t>
      </w:r>
      <w:proofErr w:type="spellEnd"/>
      <w:r w:rsidRPr="00E8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язки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В.В. Войтенко</w:t>
      </w:r>
    </w:p>
    <w:p w:rsidR="000C5027" w:rsidRPr="005454C7" w:rsidRDefault="000C5027" w:rsidP="000C5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голови з виконавчої роботи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6E316C" w:rsidRDefault="006E316C" w:rsidP="005454C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316C" w:rsidRDefault="006E316C" w:rsidP="005454C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316C" w:rsidRDefault="006E316C" w:rsidP="005454C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CB56B6" w:rsidP="005454C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787-100</w:t>
      </w:r>
      <w:r w:rsidR="005454C7"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7919EE" w:rsidRDefault="005454C7" w:rsidP="0054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7919EE" w:rsidSect="007919EE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45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proofErr w:type="spellStart"/>
      <w:r w:rsidRPr="00545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Дмітрєвскій</w:t>
      </w:r>
      <w:proofErr w:type="spellEnd"/>
      <w:r w:rsidRPr="00545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А.І., </w:t>
      </w:r>
      <w:proofErr w:type="spellStart"/>
      <w:r w:rsidRPr="00545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Масік</w:t>
      </w:r>
      <w:proofErr w:type="spellEnd"/>
      <w:r w:rsidRPr="00545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Т.О.</w:t>
      </w:r>
    </w:p>
    <w:p w:rsidR="007919EE" w:rsidRPr="007919EE" w:rsidRDefault="007919EE" w:rsidP="007919EE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ЛИСТ ПОГОДЖЕННЯ</w:t>
      </w:r>
    </w:p>
    <w:p w:rsidR="007919EE" w:rsidRPr="007919EE" w:rsidRDefault="007919EE" w:rsidP="007919EE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91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791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791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Сумської міської ради </w:t>
      </w:r>
      <w:r w:rsidRPr="007919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7919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внесення змін до рішення виконавчого комітету Сумської міської ради від </w:t>
      </w:r>
      <w:r w:rsidRPr="007919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08.09.2020 № 454</w:t>
      </w:r>
      <w:r w:rsidRPr="00791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9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«Про узгодження профілактичних та протиепідемічних заходів при здійсненні інспектування державними </w:t>
      </w:r>
    </w:p>
    <w:p w:rsidR="007919EE" w:rsidRPr="007919EE" w:rsidRDefault="007919EE" w:rsidP="007919EE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919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соціальними інспекторами домогосподарств </w:t>
      </w:r>
    </w:p>
    <w:p w:rsidR="007919EE" w:rsidRPr="007919EE" w:rsidRDefault="007919EE" w:rsidP="007919EE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9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Сумської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міської </w:t>
      </w:r>
      <w:r w:rsidRPr="007919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територіальної громади</w:t>
      </w:r>
      <w:r w:rsidRPr="007919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r w:rsidR="00E94B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зі змінами та доповненнями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7919EE" w:rsidRPr="007919EE" w:rsidRDefault="007919EE" w:rsidP="007919EE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7919EE" w:rsidRPr="007919EE" w:rsidTr="00BE75FE">
        <w:tc>
          <w:tcPr>
            <w:tcW w:w="5495" w:type="dxa"/>
            <w:shd w:val="clear" w:color="auto" w:fill="auto"/>
          </w:tcPr>
          <w:p w:rsidR="007919EE" w:rsidRPr="007919EE" w:rsidRDefault="007919EE" w:rsidP="007919E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  <w:r w:rsidRPr="00791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департаменту соціального захисту населення Сумської міської ради </w:t>
            </w:r>
          </w:p>
          <w:p w:rsidR="007919EE" w:rsidRPr="007919EE" w:rsidRDefault="007919EE" w:rsidP="007919E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19EE" w:rsidRPr="007919EE" w:rsidRDefault="007919EE" w:rsidP="007919E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919EE" w:rsidRPr="007919EE" w:rsidRDefault="007919EE" w:rsidP="007919EE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1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Т.О.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Масік</w:t>
            </w:r>
            <w:proofErr w:type="spellEnd"/>
            <w:r w:rsidRPr="00791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919EE" w:rsidRPr="007919EE" w:rsidTr="00BE75FE">
        <w:tc>
          <w:tcPr>
            <w:tcW w:w="5495" w:type="dxa"/>
            <w:shd w:val="clear" w:color="auto" w:fill="auto"/>
          </w:tcPr>
          <w:p w:rsidR="007919EE" w:rsidRPr="007919EE" w:rsidRDefault="007919EE" w:rsidP="007919E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1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юридичного забезпечення департаменту соціального захисту населення Сумської міської ради</w:t>
            </w:r>
          </w:p>
          <w:p w:rsidR="007919EE" w:rsidRPr="007919EE" w:rsidRDefault="007919EE" w:rsidP="007919E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19EE" w:rsidRPr="007919EE" w:rsidRDefault="007919EE" w:rsidP="007919E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919EE" w:rsidRPr="007919EE" w:rsidRDefault="007919EE" w:rsidP="007919E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1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І.Ю. Литвин</w:t>
            </w:r>
          </w:p>
        </w:tc>
      </w:tr>
      <w:tr w:rsidR="007919EE" w:rsidRPr="007919EE" w:rsidTr="00BE75FE">
        <w:tc>
          <w:tcPr>
            <w:tcW w:w="5495" w:type="dxa"/>
            <w:shd w:val="clear" w:color="auto" w:fill="auto"/>
          </w:tcPr>
          <w:p w:rsidR="007919EE" w:rsidRPr="007919EE" w:rsidRDefault="007919EE" w:rsidP="007919E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1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  <w:p w:rsidR="007919EE" w:rsidRPr="007919EE" w:rsidRDefault="007919EE" w:rsidP="007919E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19EE" w:rsidRPr="007919EE" w:rsidRDefault="007919EE" w:rsidP="007919E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919EE" w:rsidRPr="007919EE" w:rsidRDefault="007919EE" w:rsidP="007919E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1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А.І. </w:t>
            </w:r>
            <w:proofErr w:type="spellStart"/>
            <w:r w:rsidRPr="00791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Дмітрєвская</w:t>
            </w:r>
            <w:proofErr w:type="spellEnd"/>
          </w:p>
        </w:tc>
      </w:tr>
      <w:tr w:rsidR="007919EE" w:rsidRPr="007919EE" w:rsidTr="00BE75FE">
        <w:tc>
          <w:tcPr>
            <w:tcW w:w="5495" w:type="dxa"/>
            <w:shd w:val="clear" w:color="auto" w:fill="auto"/>
          </w:tcPr>
          <w:p w:rsidR="007919EE" w:rsidRPr="007919EE" w:rsidRDefault="007919EE" w:rsidP="007919E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1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правового управління Сумської міської ради </w:t>
            </w:r>
          </w:p>
          <w:p w:rsidR="007919EE" w:rsidRPr="007919EE" w:rsidRDefault="007919EE" w:rsidP="007919E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19EE" w:rsidRPr="007919EE" w:rsidRDefault="007919EE" w:rsidP="007919E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919EE" w:rsidRPr="007919EE" w:rsidRDefault="007919EE" w:rsidP="007919E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1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О.В. </w:t>
            </w:r>
            <w:proofErr w:type="spellStart"/>
            <w:r w:rsidRPr="00791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7919EE" w:rsidRPr="007919EE" w:rsidTr="00BE75FE">
        <w:tc>
          <w:tcPr>
            <w:tcW w:w="5495" w:type="dxa"/>
            <w:shd w:val="clear" w:color="auto" w:fill="auto"/>
          </w:tcPr>
          <w:p w:rsidR="007919EE" w:rsidRPr="007919EE" w:rsidRDefault="007919EE" w:rsidP="007919E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1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протокольної роботи та контролю Сумської міської ради</w:t>
            </w:r>
          </w:p>
          <w:p w:rsidR="007919EE" w:rsidRPr="007919EE" w:rsidRDefault="007919EE" w:rsidP="007919E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19EE" w:rsidRPr="007919EE" w:rsidRDefault="007919EE" w:rsidP="007919E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919EE" w:rsidRPr="007919EE" w:rsidRDefault="007919EE" w:rsidP="007919E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1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Л.В. </w:t>
            </w:r>
            <w:proofErr w:type="spellStart"/>
            <w:r w:rsidRPr="00791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Моша</w:t>
            </w:r>
            <w:proofErr w:type="spellEnd"/>
          </w:p>
        </w:tc>
      </w:tr>
      <w:tr w:rsidR="007919EE" w:rsidRPr="007919EE" w:rsidTr="00BE75FE">
        <w:tc>
          <w:tcPr>
            <w:tcW w:w="5495" w:type="dxa"/>
            <w:shd w:val="clear" w:color="auto" w:fill="auto"/>
          </w:tcPr>
          <w:p w:rsidR="007919EE" w:rsidRPr="007919EE" w:rsidRDefault="007919EE" w:rsidP="007919E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1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комітету</w:t>
            </w:r>
          </w:p>
          <w:p w:rsidR="007919EE" w:rsidRPr="007919EE" w:rsidRDefault="007919EE" w:rsidP="007919E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19EE" w:rsidRPr="007919EE" w:rsidRDefault="007919EE" w:rsidP="007919E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919EE" w:rsidRPr="007919EE" w:rsidRDefault="007919EE" w:rsidP="007919EE">
            <w:pPr>
              <w:tabs>
                <w:tab w:val="left" w:pos="2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1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Ю.А. Павлик</w:t>
            </w:r>
          </w:p>
        </w:tc>
      </w:tr>
    </w:tbl>
    <w:p w:rsidR="007919EE" w:rsidRPr="007919EE" w:rsidRDefault="007919EE" w:rsidP="007919EE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9EE" w:rsidRPr="007919EE" w:rsidRDefault="007919EE" w:rsidP="007919EE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9EE" w:rsidRPr="007919EE" w:rsidRDefault="007919EE" w:rsidP="007919EE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9EE" w:rsidRPr="007919EE" w:rsidRDefault="007919EE" w:rsidP="007919EE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9EE" w:rsidRPr="007919EE" w:rsidRDefault="007919EE" w:rsidP="007919EE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91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791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7919EE" w:rsidRPr="007919EE" w:rsidRDefault="007919EE" w:rsidP="007919EE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9EE" w:rsidRPr="007919EE" w:rsidRDefault="007919EE" w:rsidP="007919EE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9EE" w:rsidRPr="007919EE" w:rsidRDefault="007919EE" w:rsidP="007919EE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Масік</w:t>
      </w:r>
      <w:proofErr w:type="spellEnd"/>
    </w:p>
    <w:p w:rsidR="007919EE" w:rsidRPr="007919EE" w:rsidRDefault="007919EE" w:rsidP="007919EE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9EE" w:rsidRPr="007919EE" w:rsidRDefault="007919EE" w:rsidP="007919EE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r w:rsidRPr="007919E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__________________</w:t>
      </w:r>
      <w:r w:rsidRPr="00791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_2020 року</w:t>
      </w:r>
    </w:p>
    <w:p w:rsidR="00E95138" w:rsidRPr="005454C7" w:rsidRDefault="00E95138" w:rsidP="0054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E95138" w:rsidRPr="005454C7" w:rsidSect="007919E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5A" w:rsidRDefault="00CA495A" w:rsidP="005454C7">
      <w:pPr>
        <w:spacing w:after="0" w:line="240" w:lineRule="auto"/>
      </w:pPr>
      <w:r>
        <w:separator/>
      </w:r>
    </w:p>
  </w:endnote>
  <w:endnote w:type="continuationSeparator" w:id="0">
    <w:p w:rsidR="00CA495A" w:rsidRDefault="00CA495A" w:rsidP="0054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5A" w:rsidRDefault="00CA495A" w:rsidP="005454C7">
      <w:pPr>
        <w:spacing w:after="0" w:line="240" w:lineRule="auto"/>
      </w:pPr>
      <w:r>
        <w:separator/>
      </w:r>
    </w:p>
  </w:footnote>
  <w:footnote w:type="continuationSeparator" w:id="0">
    <w:p w:rsidR="00CA495A" w:rsidRDefault="00CA495A" w:rsidP="0054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CA" w:rsidRDefault="006B3574" w:rsidP="00DA38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49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9D5">
      <w:rPr>
        <w:rStyle w:val="a5"/>
        <w:noProof/>
      </w:rPr>
      <w:t>9</w:t>
    </w:r>
    <w:r>
      <w:rPr>
        <w:rStyle w:val="a5"/>
      </w:rPr>
      <w:fldChar w:fldCharType="end"/>
    </w:r>
  </w:p>
  <w:p w:rsidR="00EC67CA" w:rsidRDefault="002546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229239"/>
      <w:docPartObj>
        <w:docPartGallery w:val="Page Numbers (Top of Page)"/>
        <w:docPartUnique/>
      </w:docPartObj>
    </w:sdtPr>
    <w:sdtEndPr/>
    <w:sdtContent>
      <w:p w:rsidR="005454C7" w:rsidRDefault="006B3574">
        <w:pPr>
          <w:pStyle w:val="a3"/>
          <w:jc w:val="center"/>
        </w:pPr>
        <w:r>
          <w:fldChar w:fldCharType="begin"/>
        </w:r>
        <w:r w:rsidR="005454C7">
          <w:instrText>PAGE   \* MERGEFORMAT</w:instrText>
        </w:r>
        <w:r>
          <w:fldChar w:fldCharType="separate"/>
        </w:r>
        <w:r w:rsidR="002546D4">
          <w:rPr>
            <w:noProof/>
          </w:rPr>
          <w:t>3</w:t>
        </w:r>
        <w:r>
          <w:fldChar w:fldCharType="end"/>
        </w:r>
      </w:p>
    </w:sdtContent>
  </w:sdt>
  <w:p w:rsidR="006F2812" w:rsidRDefault="002546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B0"/>
    <w:rsid w:val="000853DB"/>
    <w:rsid w:val="000A276B"/>
    <w:rsid w:val="000C5027"/>
    <w:rsid w:val="000E2C3D"/>
    <w:rsid w:val="000E73CE"/>
    <w:rsid w:val="0012766F"/>
    <w:rsid w:val="00150F57"/>
    <w:rsid w:val="00164AB8"/>
    <w:rsid w:val="001810E2"/>
    <w:rsid w:val="00227039"/>
    <w:rsid w:val="002546D4"/>
    <w:rsid w:val="002E76DD"/>
    <w:rsid w:val="002F3E1F"/>
    <w:rsid w:val="003049D5"/>
    <w:rsid w:val="00345B12"/>
    <w:rsid w:val="003B4E7E"/>
    <w:rsid w:val="00431F39"/>
    <w:rsid w:val="004372AD"/>
    <w:rsid w:val="005378D2"/>
    <w:rsid w:val="005454C7"/>
    <w:rsid w:val="00552182"/>
    <w:rsid w:val="00581B1B"/>
    <w:rsid w:val="005D5151"/>
    <w:rsid w:val="005E358A"/>
    <w:rsid w:val="0062667E"/>
    <w:rsid w:val="00636700"/>
    <w:rsid w:val="00680722"/>
    <w:rsid w:val="006B3574"/>
    <w:rsid w:val="006E316C"/>
    <w:rsid w:val="006F43B6"/>
    <w:rsid w:val="007919EE"/>
    <w:rsid w:val="00792F52"/>
    <w:rsid w:val="007B01B6"/>
    <w:rsid w:val="008567A7"/>
    <w:rsid w:val="0087743D"/>
    <w:rsid w:val="008D070C"/>
    <w:rsid w:val="009132AA"/>
    <w:rsid w:val="00963B39"/>
    <w:rsid w:val="00992AE1"/>
    <w:rsid w:val="00995CD8"/>
    <w:rsid w:val="009B5634"/>
    <w:rsid w:val="00A22864"/>
    <w:rsid w:val="00AB2AD4"/>
    <w:rsid w:val="00AB563C"/>
    <w:rsid w:val="00AF6BB0"/>
    <w:rsid w:val="00B11BD5"/>
    <w:rsid w:val="00B50625"/>
    <w:rsid w:val="00B66925"/>
    <w:rsid w:val="00BA0C48"/>
    <w:rsid w:val="00C0797E"/>
    <w:rsid w:val="00C166FA"/>
    <w:rsid w:val="00C31DD2"/>
    <w:rsid w:val="00C438A1"/>
    <w:rsid w:val="00C761CF"/>
    <w:rsid w:val="00CA495A"/>
    <w:rsid w:val="00CB56B6"/>
    <w:rsid w:val="00CE724B"/>
    <w:rsid w:val="00D061F2"/>
    <w:rsid w:val="00D21359"/>
    <w:rsid w:val="00D3181F"/>
    <w:rsid w:val="00D45E86"/>
    <w:rsid w:val="00D5039A"/>
    <w:rsid w:val="00DD3C31"/>
    <w:rsid w:val="00E02BF0"/>
    <w:rsid w:val="00E21D64"/>
    <w:rsid w:val="00E533E5"/>
    <w:rsid w:val="00E855AA"/>
    <w:rsid w:val="00E94BE2"/>
    <w:rsid w:val="00E95138"/>
    <w:rsid w:val="00EA0E59"/>
    <w:rsid w:val="00EB2797"/>
    <w:rsid w:val="00EC53C7"/>
    <w:rsid w:val="00ED68C6"/>
    <w:rsid w:val="00F81BFC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C644"/>
  <w15:docId w15:val="{B763EDEC-DFA6-49EA-9F45-4D14B2AE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4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454C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454C7"/>
  </w:style>
  <w:style w:type="paragraph" w:styleId="a6">
    <w:name w:val="footer"/>
    <w:basedOn w:val="a"/>
    <w:link w:val="a7"/>
    <w:uiPriority w:val="99"/>
    <w:unhideWhenUsed/>
    <w:rsid w:val="0054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4C7"/>
  </w:style>
  <w:style w:type="paragraph" w:styleId="a8">
    <w:name w:val="Balloon Text"/>
    <w:basedOn w:val="a"/>
    <w:link w:val="a9"/>
    <w:uiPriority w:val="99"/>
    <w:semiHidden/>
    <w:unhideWhenUsed/>
    <w:rsid w:val="0054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54C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761CF"/>
    <w:rPr>
      <w:color w:val="0563C1" w:themeColor="hyperlink"/>
      <w:u w:val="single"/>
    </w:rPr>
  </w:style>
  <w:style w:type="paragraph" w:styleId="ab">
    <w:name w:val="No Spacing"/>
    <w:uiPriority w:val="1"/>
    <w:qFormat/>
    <w:rsid w:val="00D061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Cелешок</cp:lastModifiedBy>
  <cp:revision>12</cp:revision>
  <cp:lastPrinted>2020-11-18T08:29:00Z</cp:lastPrinted>
  <dcterms:created xsi:type="dcterms:W3CDTF">2020-11-16T13:02:00Z</dcterms:created>
  <dcterms:modified xsi:type="dcterms:W3CDTF">2020-11-27T06:47:00Z</dcterms:modified>
</cp:coreProperties>
</file>