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F4652B">
        <w:rPr>
          <w:sz w:val="28"/>
          <w:szCs w:val="28"/>
          <w:lang w:val="uk-UA"/>
        </w:rPr>
        <w:t xml:space="preserve">26.05.2020 </w:t>
      </w:r>
      <w:r w:rsidR="00C05FBE">
        <w:rPr>
          <w:sz w:val="28"/>
          <w:szCs w:val="28"/>
          <w:lang w:val="uk-UA"/>
        </w:rPr>
        <w:t xml:space="preserve"> №  </w:t>
      </w:r>
      <w:r w:rsidR="00F4652B">
        <w:rPr>
          <w:sz w:val="28"/>
          <w:szCs w:val="28"/>
          <w:lang w:val="uk-UA"/>
        </w:rPr>
        <w:t>280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F4652B" w:rsidTr="00C05FBE">
        <w:tc>
          <w:tcPr>
            <w:tcW w:w="5637" w:type="dxa"/>
            <w:hideMark/>
          </w:tcPr>
          <w:p w:rsidR="00C05FBE" w:rsidRPr="00AB34FF" w:rsidRDefault="00AB34FF" w:rsidP="006828EE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EB9">
              <w:rPr>
                <w:b/>
                <w:sz w:val="28"/>
                <w:szCs w:val="28"/>
                <w:lang w:val="uk-UA"/>
              </w:rPr>
              <w:t xml:space="preserve">внесення на розгляд </w:t>
            </w:r>
            <w:r w:rsidR="00EA226D">
              <w:rPr>
                <w:b/>
                <w:sz w:val="28"/>
                <w:szCs w:val="28"/>
                <w:lang w:val="uk-UA"/>
              </w:rPr>
              <w:t>Сумськ</w:t>
            </w:r>
            <w:r w:rsidR="00047EB9">
              <w:rPr>
                <w:b/>
                <w:sz w:val="28"/>
                <w:szCs w:val="28"/>
                <w:lang w:val="uk-UA"/>
              </w:rPr>
              <w:t>ої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="00047EB9">
              <w:rPr>
                <w:b/>
                <w:sz w:val="28"/>
                <w:szCs w:val="28"/>
                <w:lang w:val="uk-UA"/>
              </w:rPr>
              <w:t>ої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="00047EB9">
              <w:rPr>
                <w:b/>
                <w:sz w:val="28"/>
                <w:szCs w:val="28"/>
                <w:lang w:val="uk-UA"/>
              </w:rPr>
              <w:t>и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7EB9">
              <w:rPr>
                <w:b/>
                <w:sz w:val="28"/>
                <w:szCs w:val="28"/>
                <w:lang w:val="uk-UA"/>
              </w:rPr>
              <w:t xml:space="preserve">питання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«Про міську 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>цільов</w:t>
            </w:r>
            <w:r w:rsidR="00047EB9">
              <w:rPr>
                <w:b/>
                <w:sz w:val="28"/>
                <w:szCs w:val="28"/>
                <w:lang w:val="uk-UA"/>
              </w:rPr>
              <w:t>у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програм</w:t>
            </w:r>
            <w:r w:rsidR="00047EB9">
              <w:rPr>
                <w:b/>
                <w:sz w:val="28"/>
                <w:szCs w:val="28"/>
                <w:lang w:val="uk-UA"/>
              </w:rPr>
              <w:t>у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автоматизованої системи обліку оплати проїзду в міському пасажирському транспорті </w:t>
            </w:r>
            <w:r w:rsidR="006828EE">
              <w:rPr>
                <w:b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на 20</w:t>
            </w:r>
            <w:r w:rsidR="00047EB9">
              <w:rPr>
                <w:b/>
                <w:sz w:val="28"/>
                <w:szCs w:val="28"/>
                <w:lang w:val="uk-UA"/>
              </w:rPr>
              <w:t>20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-202</w:t>
            </w:r>
            <w:r w:rsidR="00047EB9">
              <w:rPr>
                <w:b/>
                <w:sz w:val="28"/>
                <w:szCs w:val="28"/>
                <w:lang w:val="uk-UA"/>
              </w:rPr>
              <w:t>2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 роки»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DC1A98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надання послуг з перевезення пасажирів, забезпечення належного обліку фактично наданих транспортних послуг міським пасажирським транспортом,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підсумки діяльності </w:t>
      </w:r>
      <w:r w:rsidR="00DC1A98" w:rsidRPr="00DC1A98">
        <w:rPr>
          <w:lang w:val="uk-UA"/>
        </w:rPr>
        <w:t xml:space="preserve">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з питань реалізації повноважень виконавчих органів Сумської міської ради у сфері автоматизованої системи обліку оплати проїзду в міському пасажирському транспорті незалежно від форм власності</w:t>
      </w:r>
      <w:r w:rsidR="00DD40C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4 від 04.07.19 р.)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автомобільний транспорт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міський електричний транспорт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443FF">
        <w:rPr>
          <w:rFonts w:ascii="Times New Roman" w:hAnsi="Times New Roman" w:cs="Times New Roman"/>
          <w:sz w:val="28"/>
          <w:szCs w:val="28"/>
          <w:lang w:val="uk-UA"/>
        </w:rPr>
        <w:t>підпунк</w:t>
      </w:r>
      <w:r w:rsidR="00DD40C1">
        <w:rPr>
          <w:rFonts w:ascii="Times New Roman" w:hAnsi="Times New Roman" w:cs="Times New Roman"/>
          <w:sz w:val="28"/>
          <w:szCs w:val="28"/>
          <w:lang w:val="uk-UA"/>
        </w:rPr>
        <w:t xml:space="preserve">том 1 пункту «а» статті 27 та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6B43E0">
        <w:rPr>
          <w:sz w:val="28"/>
          <w:lang w:val="uk-UA"/>
        </w:rPr>
        <w:t xml:space="preserve">Внести на розгляд Сумської міської ради питання </w:t>
      </w:r>
      <w:r w:rsidR="004443FF" w:rsidRPr="004443FF">
        <w:rPr>
          <w:sz w:val="28"/>
          <w:szCs w:val="28"/>
          <w:lang w:val="uk-UA"/>
        </w:rPr>
        <w:t xml:space="preserve">«Про міську цільову програму автоматизованої системи обліку оплати проїзду в міському пасажирському транспорті </w:t>
      </w:r>
      <w:r w:rsidR="006828EE" w:rsidRPr="006828EE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828EE" w:rsidRPr="00047EB9">
        <w:rPr>
          <w:b/>
          <w:sz w:val="28"/>
          <w:szCs w:val="28"/>
          <w:lang w:val="uk-UA"/>
        </w:rPr>
        <w:t xml:space="preserve"> </w:t>
      </w:r>
      <w:r w:rsidR="004443FF" w:rsidRPr="004443FF">
        <w:rPr>
          <w:sz w:val="28"/>
          <w:szCs w:val="28"/>
          <w:lang w:val="uk-UA"/>
        </w:rPr>
        <w:t>на 2020-2022 роки»</w:t>
      </w:r>
      <w:r w:rsidR="004443FF">
        <w:rPr>
          <w:sz w:val="28"/>
          <w:szCs w:val="28"/>
          <w:lang w:val="uk-UA"/>
        </w:rPr>
        <w:t>.</w:t>
      </w:r>
    </w:p>
    <w:p w:rsidR="004443FF" w:rsidRPr="004443FF" w:rsidRDefault="004443FF" w:rsidP="004443FF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063CE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A20C1B" w:rsidRPr="00135E3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ED35A1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згідно із розподілом обов’язків.</w:t>
      </w:r>
    </w:p>
    <w:p w:rsidR="008758A4" w:rsidRDefault="008758A4" w:rsidP="006B43E0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FA258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Pr="00A20C1B" w:rsidRDefault="00C063CE" w:rsidP="00A20C1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 w:rsidR="00DD40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A20C1B">
        <w:rPr>
          <w:sz w:val="28"/>
          <w:szCs w:val="28"/>
          <w:lang w:val="uk-UA"/>
        </w:rPr>
        <w:t xml:space="preserve">Однорогу В.Л., </w:t>
      </w:r>
      <w:r w:rsidR="00352043">
        <w:rPr>
          <w:sz w:val="28"/>
          <w:szCs w:val="28"/>
          <w:lang w:val="uk-UA"/>
        </w:rPr>
        <w:t xml:space="preserve">Липовій С.В., </w:t>
      </w:r>
      <w:r w:rsidR="00DD40C1">
        <w:rPr>
          <w:sz w:val="28"/>
          <w:szCs w:val="28"/>
          <w:lang w:val="uk-UA"/>
        </w:rPr>
        <w:t>Масік Т.</w:t>
      </w:r>
      <w:r w:rsidR="00C309A2">
        <w:rPr>
          <w:sz w:val="28"/>
          <w:szCs w:val="28"/>
          <w:lang w:val="uk-UA"/>
        </w:rPr>
        <w:t>О</w:t>
      </w:r>
      <w:r w:rsidR="00DD40C1">
        <w:rPr>
          <w:sz w:val="28"/>
          <w:szCs w:val="28"/>
          <w:lang w:val="uk-UA"/>
        </w:rPr>
        <w:t xml:space="preserve">., </w:t>
      </w:r>
      <w:r w:rsidR="00352043">
        <w:rPr>
          <w:sz w:val="28"/>
          <w:szCs w:val="28"/>
          <w:lang w:val="uk-UA"/>
        </w:rPr>
        <w:t>Костенко О.А.</w:t>
      </w:r>
      <w:r w:rsidR="00A20C1B">
        <w:rPr>
          <w:sz w:val="28"/>
          <w:szCs w:val="28"/>
          <w:lang w:val="uk-UA"/>
        </w:rPr>
        <w:t xml:space="preserve">, </w:t>
      </w:r>
      <w:r w:rsidR="00112613">
        <w:rPr>
          <w:sz w:val="28"/>
          <w:szCs w:val="28"/>
          <w:lang w:val="uk-UA"/>
        </w:rPr>
        <w:t>Паку С.Я</w:t>
      </w:r>
      <w:r w:rsidR="00A20C1B" w:rsidRPr="00A20C1B">
        <w:rPr>
          <w:sz w:val="28"/>
          <w:szCs w:val="28"/>
          <w:lang w:val="uk-UA"/>
        </w:rPr>
        <w:t>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43E0" w:rsidRDefault="006B43E0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43E0" w:rsidRDefault="006B43E0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A0219B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lastRenderedPageBreak/>
        <w:t xml:space="preserve">             </w:t>
      </w:r>
      <w:r>
        <w:rPr>
          <w:bCs/>
          <w:sz w:val="28"/>
          <w:szCs w:val="28"/>
          <w:lang w:val="uk-UA"/>
        </w:rPr>
        <w:t xml:space="preserve"> </w:t>
      </w:r>
      <w:r w:rsidRPr="00A0219B">
        <w:rPr>
          <w:bCs/>
          <w:sz w:val="28"/>
          <w:szCs w:val="28"/>
          <w:lang w:val="uk-UA"/>
        </w:rPr>
        <w:t xml:space="preserve">              Додаток </w:t>
      </w:r>
      <w:r>
        <w:rPr>
          <w:bCs/>
          <w:sz w:val="28"/>
          <w:szCs w:val="28"/>
          <w:lang w:val="uk-UA"/>
        </w:rPr>
        <w:t>1</w:t>
      </w:r>
    </w:p>
    <w:p w:rsidR="000A5322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t xml:space="preserve">до рішення виконавчого комітету </w:t>
      </w:r>
    </w:p>
    <w:p w:rsidR="000A5322" w:rsidRPr="004A0D40" w:rsidRDefault="000A5322" w:rsidP="00F4652B">
      <w:pPr>
        <w:ind w:left="4956"/>
        <w:rPr>
          <w:sz w:val="8"/>
          <w:szCs w:val="8"/>
          <w:lang w:val="uk-UA"/>
        </w:rPr>
      </w:pPr>
      <w:r>
        <w:rPr>
          <w:bCs/>
          <w:sz w:val="28"/>
          <w:szCs w:val="28"/>
          <w:lang w:val="uk-UA"/>
        </w:rPr>
        <w:t xml:space="preserve">      від  </w:t>
      </w:r>
      <w:r w:rsidR="00F4652B">
        <w:rPr>
          <w:bCs/>
          <w:sz w:val="28"/>
          <w:szCs w:val="28"/>
          <w:lang w:val="uk-UA"/>
        </w:rPr>
        <w:t>26.05.2020  № 280</w:t>
      </w:r>
    </w:p>
    <w:p w:rsidR="008C2DCB" w:rsidRDefault="008C2DCB" w:rsidP="008C2DCB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8C2DCB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цільов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</w:t>
      </w:r>
    </w:p>
    <w:p w:rsidR="000A5322" w:rsidRDefault="008C2DCB" w:rsidP="008C2DCB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 w:rsidRPr="008C2DCB">
        <w:rPr>
          <w:b/>
          <w:sz w:val="28"/>
          <w:szCs w:val="28"/>
          <w:lang w:val="uk-UA"/>
        </w:rPr>
        <w:t xml:space="preserve">автоматизованої системи обліку оплати проїзду в міському пасажирському транспорті </w:t>
      </w:r>
      <w:r w:rsidR="006828EE">
        <w:rPr>
          <w:b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828EE" w:rsidRPr="00047EB9">
        <w:rPr>
          <w:b/>
          <w:sz w:val="28"/>
          <w:szCs w:val="28"/>
          <w:lang w:val="uk-UA"/>
        </w:rPr>
        <w:t xml:space="preserve"> </w:t>
      </w:r>
      <w:r w:rsidRPr="008C2DCB">
        <w:rPr>
          <w:b/>
          <w:sz w:val="28"/>
          <w:szCs w:val="28"/>
          <w:lang w:val="uk-UA"/>
        </w:rPr>
        <w:t>на 2020-2022 роки</w:t>
      </w:r>
    </w:p>
    <w:p w:rsidR="004A0D40" w:rsidRPr="008E4842" w:rsidRDefault="004A0D40" w:rsidP="008C2DCB">
      <w:pPr>
        <w:tabs>
          <w:tab w:val="left" w:pos="1260"/>
        </w:tabs>
        <w:jc w:val="center"/>
        <w:rPr>
          <w:b/>
          <w:sz w:val="10"/>
          <w:szCs w:val="10"/>
        </w:rPr>
      </w:pPr>
    </w:p>
    <w:p w:rsidR="00795A2A" w:rsidRPr="00795A2A" w:rsidRDefault="00795A2A" w:rsidP="00795A2A">
      <w:pPr>
        <w:pStyle w:val="a3"/>
        <w:tabs>
          <w:tab w:val="left" w:pos="1260"/>
        </w:tabs>
        <w:ind w:left="1069"/>
        <w:jc w:val="center"/>
        <w:rPr>
          <w:b/>
          <w:sz w:val="28"/>
          <w:szCs w:val="28"/>
          <w:lang w:val="uk-UA"/>
        </w:rPr>
      </w:pPr>
      <w:r w:rsidRPr="00795A2A">
        <w:rPr>
          <w:b/>
          <w:sz w:val="28"/>
          <w:szCs w:val="28"/>
          <w:lang w:val="uk-UA"/>
        </w:rPr>
        <w:t>1.Загальні положення</w:t>
      </w:r>
    </w:p>
    <w:p w:rsidR="00F61387" w:rsidRDefault="008C2DCB" w:rsidP="008C2DCB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8C2DCB">
        <w:rPr>
          <w:sz w:val="28"/>
          <w:szCs w:val="28"/>
          <w:lang w:val="uk-UA"/>
        </w:rPr>
        <w:t xml:space="preserve">Програма </w:t>
      </w:r>
      <w:r w:rsidR="005875B3">
        <w:rPr>
          <w:sz w:val="28"/>
          <w:szCs w:val="28"/>
          <w:lang w:val="uk-UA"/>
        </w:rPr>
        <w:t>представ</w:t>
      </w:r>
      <w:r w:rsidR="00B67ADB">
        <w:rPr>
          <w:sz w:val="28"/>
          <w:szCs w:val="28"/>
          <w:lang w:val="uk-UA"/>
        </w:rPr>
        <w:t>ляє</w:t>
      </w:r>
      <w:r w:rsidRPr="008C2DCB">
        <w:rPr>
          <w:sz w:val="28"/>
          <w:szCs w:val="28"/>
          <w:lang w:val="uk-UA"/>
        </w:rPr>
        <w:t xml:space="preserve"> собою комплекс заходів з розробки та поетапного впровадження в міському пасажирському транспорті </w:t>
      </w:r>
      <w:r w:rsidR="006828EE" w:rsidRPr="006828EE">
        <w:rPr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 w:rsidR="00B67ADB">
        <w:rPr>
          <w:sz w:val="28"/>
          <w:szCs w:val="28"/>
          <w:lang w:val="uk-UA"/>
        </w:rPr>
        <w:t xml:space="preserve">автоматизованої </w:t>
      </w:r>
      <w:r w:rsidRPr="008C2DCB">
        <w:rPr>
          <w:sz w:val="28"/>
          <w:szCs w:val="28"/>
          <w:lang w:val="uk-UA"/>
        </w:rPr>
        <w:t xml:space="preserve">системи </w:t>
      </w:r>
      <w:r w:rsidR="00AC529D">
        <w:rPr>
          <w:sz w:val="28"/>
          <w:szCs w:val="28"/>
          <w:lang w:val="uk-UA"/>
        </w:rPr>
        <w:t xml:space="preserve">обліку </w:t>
      </w:r>
      <w:r w:rsidRPr="008C2DCB">
        <w:rPr>
          <w:sz w:val="28"/>
          <w:szCs w:val="28"/>
          <w:lang w:val="uk-UA"/>
        </w:rPr>
        <w:t xml:space="preserve">оплати проїзду </w:t>
      </w:r>
      <w:r w:rsidR="00AC529D">
        <w:rPr>
          <w:sz w:val="28"/>
          <w:szCs w:val="28"/>
          <w:lang w:val="uk-UA"/>
        </w:rPr>
        <w:t>(далі – АСООП</w:t>
      </w:r>
      <w:r w:rsidR="00C14C1E">
        <w:rPr>
          <w:sz w:val="28"/>
          <w:szCs w:val="28"/>
          <w:lang w:val="uk-UA"/>
        </w:rPr>
        <w:t>)</w:t>
      </w:r>
      <w:r w:rsidR="00AC529D">
        <w:rPr>
          <w:sz w:val="28"/>
          <w:szCs w:val="28"/>
          <w:lang w:val="uk-UA"/>
        </w:rPr>
        <w:t xml:space="preserve"> </w:t>
      </w:r>
      <w:r w:rsidRPr="008C2DCB">
        <w:rPr>
          <w:sz w:val="28"/>
          <w:szCs w:val="28"/>
          <w:lang w:val="uk-UA"/>
        </w:rPr>
        <w:t xml:space="preserve">з використанням </w:t>
      </w:r>
      <w:r w:rsidR="00B67ADB">
        <w:rPr>
          <w:sz w:val="28"/>
          <w:szCs w:val="28"/>
          <w:lang w:val="uk-UA"/>
        </w:rPr>
        <w:t>безконтактних транспортних карток</w:t>
      </w:r>
      <w:r w:rsidR="00C14C1E">
        <w:rPr>
          <w:sz w:val="28"/>
          <w:szCs w:val="28"/>
          <w:lang w:val="uk-UA"/>
        </w:rPr>
        <w:t xml:space="preserve"> та інших форм носіїв, затверджених рішенням виконавчого комітету Сумської міської ради.</w:t>
      </w:r>
      <w:r w:rsidRPr="008C2DCB">
        <w:rPr>
          <w:sz w:val="28"/>
          <w:szCs w:val="28"/>
          <w:lang w:val="uk-UA"/>
        </w:rPr>
        <w:t xml:space="preserve"> </w:t>
      </w:r>
    </w:p>
    <w:p w:rsidR="000A5322" w:rsidRDefault="00E83069" w:rsidP="008C2DCB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АСООП </w:t>
      </w:r>
      <w:r w:rsidR="008C2DCB" w:rsidRPr="008C2DCB">
        <w:rPr>
          <w:sz w:val="28"/>
          <w:szCs w:val="28"/>
          <w:lang w:val="uk-UA"/>
        </w:rPr>
        <w:t xml:space="preserve">планується впровадити для </w:t>
      </w:r>
      <w:r>
        <w:rPr>
          <w:sz w:val="28"/>
          <w:szCs w:val="28"/>
          <w:lang w:val="uk-UA"/>
        </w:rPr>
        <w:t>усіх</w:t>
      </w:r>
      <w:r w:rsidR="008C2DCB" w:rsidRPr="008C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категорій пасажирів.</w:t>
      </w:r>
      <w:r w:rsidR="00306117">
        <w:rPr>
          <w:sz w:val="28"/>
          <w:szCs w:val="28"/>
          <w:lang w:val="uk-UA"/>
        </w:rPr>
        <w:t xml:space="preserve"> </w:t>
      </w:r>
      <w:r w:rsidR="00F61387" w:rsidRPr="006F1FA7">
        <w:rPr>
          <w:sz w:val="28"/>
          <w:szCs w:val="28"/>
          <w:lang w:val="uk-UA"/>
        </w:rPr>
        <w:t xml:space="preserve">Для </w:t>
      </w:r>
      <w:r w:rsidR="00306117" w:rsidRPr="006F1FA7">
        <w:rPr>
          <w:sz w:val="28"/>
          <w:szCs w:val="28"/>
          <w:lang w:val="uk-UA"/>
        </w:rPr>
        <w:t xml:space="preserve">пасажирів пільгових категорій планується введення </w:t>
      </w:r>
      <w:r w:rsidR="00306117" w:rsidRPr="0035347E">
        <w:rPr>
          <w:sz w:val="28"/>
          <w:szCs w:val="28"/>
          <w:lang w:val="uk-UA"/>
        </w:rPr>
        <w:t>персоніфікованих безконтактних</w:t>
      </w:r>
      <w:r w:rsidR="00306117" w:rsidRPr="006F1FA7">
        <w:rPr>
          <w:sz w:val="28"/>
          <w:szCs w:val="28"/>
          <w:lang w:val="uk-UA"/>
        </w:rPr>
        <w:t xml:space="preserve"> карток</w:t>
      </w:r>
      <w:r w:rsidR="00271373">
        <w:rPr>
          <w:sz w:val="28"/>
          <w:szCs w:val="28"/>
          <w:lang w:val="uk-UA"/>
        </w:rPr>
        <w:t xml:space="preserve"> із зображенням фото, зазначенням прізвища, імені та по батькові власника картки, а також з унікальним персональним номером</w:t>
      </w:r>
      <w:r w:rsidR="00306117" w:rsidRPr="006F1FA7">
        <w:rPr>
          <w:sz w:val="28"/>
          <w:szCs w:val="28"/>
          <w:lang w:val="uk-UA"/>
        </w:rPr>
        <w:t>.</w:t>
      </w:r>
      <w:r w:rsidR="0057627C" w:rsidRPr="006F1FA7">
        <w:rPr>
          <w:sz w:val="28"/>
          <w:szCs w:val="28"/>
          <w:lang w:val="uk-UA"/>
        </w:rPr>
        <w:t xml:space="preserve"> </w:t>
      </w:r>
      <w:r w:rsidR="004A0D40">
        <w:rPr>
          <w:sz w:val="28"/>
          <w:szCs w:val="28"/>
          <w:lang w:val="uk-UA"/>
        </w:rPr>
        <w:t xml:space="preserve">Для платної категорії пасажирів передбачається виготовлення та реалізація безконтактних неперсоніфікованих та персоніфікованих карток. Персоніфікована транспортна картка передбачатиме можливість додаткових сервісів для її власників </w:t>
      </w:r>
      <w:r w:rsidR="004A0D40" w:rsidRPr="004A0D40">
        <w:rPr>
          <w:sz w:val="28"/>
          <w:szCs w:val="28"/>
          <w:lang w:val="uk-UA"/>
        </w:rPr>
        <w:t xml:space="preserve">(знижки а аптеках, </w:t>
      </w:r>
      <w:r w:rsidR="004A0D40">
        <w:rPr>
          <w:sz w:val="28"/>
          <w:szCs w:val="28"/>
          <w:lang w:val="uk-UA"/>
        </w:rPr>
        <w:t xml:space="preserve">знижки </w:t>
      </w:r>
      <w:r w:rsidR="004A0D40" w:rsidRPr="004A0D40">
        <w:rPr>
          <w:sz w:val="28"/>
          <w:szCs w:val="28"/>
          <w:lang w:val="uk-UA"/>
        </w:rPr>
        <w:t>на</w:t>
      </w:r>
      <w:r w:rsidR="00424439">
        <w:rPr>
          <w:sz w:val="28"/>
          <w:szCs w:val="28"/>
          <w:lang w:val="uk-UA"/>
        </w:rPr>
        <w:t xml:space="preserve"> отримання платних адміністративних послуг,</w:t>
      </w:r>
      <w:r w:rsidR="004A0D40" w:rsidRPr="004A0D40">
        <w:rPr>
          <w:sz w:val="28"/>
          <w:szCs w:val="28"/>
          <w:lang w:val="uk-UA"/>
        </w:rPr>
        <w:t xml:space="preserve"> </w:t>
      </w:r>
      <w:r w:rsidR="00424439">
        <w:rPr>
          <w:sz w:val="28"/>
          <w:szCs w:val="28"/>
          <w:lang w:val="uk-UA"/>
        </w:rPr>
        <w:t xml:space="preserve">на </w:t>
      </w:r>
      <w:r w:rsidR="004A0D40" w:rsidRPr="004A0D40">
        <w:rPr>
          <w:sz w:val="28"/>
          <w:szCs w:val="28"/>
          <w:lang w:val="uk-UA"/>
        </w:rPr>
        <w:t>відвідування музеїв, бібліотек,</w:t>
      </w:r>
      <w:r w:rsidR="004A0D40">
        <w:rPr>
          <w:sz w:val="28"/>
          <w:szCs w:val="28"/>
          <w:lang w:val="uk-UA"/>
        </w:rPr>
        <w:t xml:space="preserve"> культурно-масових</w:t>
      </w:r>
      <w:r w:rsidR="004A0D40" w:rsidRPr="004A0D40">
        <w:rPr>
          <w:sz w:val="28"/>
          <w:szCs w:val="28"/>
          <w:lang w:val="uk-UA"/>
        </w:rPr>
        <w:t xml:space="preserve"> заходів тощо)</w:t>
      </w:r>
      <w:r w:rsidR="004A0D40">
        <w:rPr>
          <w:sz w:val="28"/>
          <w:szCs w:val="28"/>
          <w:lang w:val="uk-UA"/>
        </w:rPr>
        <w:t>.</w:t>
      </w:r>
    </w:p>
    <w:p w:rsidR="009F148C" w:rsidRPr="004A0D40" w:rsidRDefault="009F148C" w:rsidP="008C2DCB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Європейський досвід та </w:t>
      </w:r>
      <w:r w:rsidR="000B291E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 xml:space="preserve">міст України у сфері АСООП свідчить про доцільність використання разових е-квитків </w:t>
      </w:r>
      <w:r w:rsidR="000B291E">
        <w:rPr>
          <w:sz w:val="28"/>
          <w:szCs w:val="28"/>
          <w:lang w:val="uk-UA"/>
        </w:rPr>
        <w:t xml:space="preserve">для гостей міста. Як правило, вартість </w:t>
      </w:r>
      <w:r w:rsidR="00530A95">
        <w:rPr>
          <w:sz w:val="28"/>
          <w:szCs w:val="28"/>
          <w:lang w:val="uk-UA"/>
        </w:rPr>
        <w:t xml:space="preserve">однієї поїздки по </w:t>
      </w:r>
      <w:r w:rsidR="000B291E">
        <w:rPr>
          <w:sz w:val="28"/>
          <w:szCs w:val="28"/>
          <w:lang w:val="uk-UA"/>
        </w:rPr>
        <w:t>разово</w:t>
      </w:r>
      <w:r w:rsidR="00530A95">
        <w:rPr>
          <w:sz w:val="28"/>
          <w:szCs w:val="28"/>
          <w:lang w:val="uk-UA"/>
        </w:rPr>
        <w:t>му</w:t>
      </w:r>
      <w:r w:rsidR="000B291E">
        <w:rPr>
          <w:sz w:val="28"/>
          <w:szCs w:val="28"/>
          <w:lang w:val="uk-UA"/>
        </w:rPr>
        <w:t xml:space="preserve"> е-квитк</w:t>
      </w:r>
      <w:r w:rsidR="00530A95">
        <w:rPr>
          <w:sz w:val="28"/>
          <w:szCs w:val="28"/>
          <w:lang w:val="uk-UA"/>
        </w:rPr>
        <w:t>у</w:t>
      </w:r>
      <w:r w:rsidR="000B291E">
        <w:rPr>
          <w:sz w:val="28"/>
          <w:szCs w:val="28"/>
          <w:lang w:val="uk-UA"/>
        </w:rPr>
        <w:t xml:space="preserve"> є вищою за вартість</w:t>
      </w:r>
      <w:r w:rsidR="00530A95">
        <w:rPr>
          <w:sz w:val="28"/>
          <w:szCs w:val="28"/>
          <w:lang w:val="uk-UA"/>
        </w:rPr>
        <w:t xml:space="preserve"> поїздки з використанням </w:t>
      </w:r>
      <w:r w:rsidR="000B291E">
        <w:rPr>
          <w:sz w:val="28"/>
          <w:szCs w:val="28"/>
          <w:lang w:val="uk-UA"/>
        </w:rPr>
        <w:t>транспортної картки (чи іншого багаторазового носія), що позитивно впливає на освоєння інноваційних технологій в оплаті проїзду.</w:t>
      </w:r>
    </w:p>
    <w:p w:rsidR="00306117" w:rsidRPr="009E4EFA" w:rsidRDefault="00F61387" w:rsidP="00306117">
      <w:pPr>
        <w:tabs>
          <w:tab w:val="left" w:pos="1260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АСООП передбачає </w:t>
      </w:r>
      <w:r w:rsidR="00306117" w:rsidRPr="00306117">
        <w:rPr>
          <w:bCs/>
          <w:iCs/>
          <w:sz w:val="28"/>
          <w:szCs w:val="28"/>
          <w:lang w:val="uk-UA"/>
        </w:rPr>
        <w:t>застосуванн</w:t>
      </w:r>
      <w:r>
        <w:rPr>
          <w:bCs/>
          <w:iCs/>
          <w:sz w:val="28"/>
          <w:szCs w:val="28"/>
          <w:lang w:val="uk-UA"/>
        </w:rPr>
        <w:t>я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обладнання, пристроїв</w:t>
      </w:r>
      <w:r w:rsidR="00306117" w:rsidRPr="00306117">
        <w:rPr>
          <w:bCs/>
          <w:iCs/>
          <w:sz w:val="28"/>
          <w:szCs w:val="28"/>
          <w:lang w:val="uk-UA"/>
        </w:rPr>
        <w:t xml:space="preserve"> та програмного забезпечення</w:t>
      </w:r>
      <w:r w:rsidR="0057627C">
        <w:rPr>
          <w:bCs/>
          <w:iCs/>
          <w:sz w:val="28"/>
          <w:szCs w:val="28"/>
          <w:lang w:val="uk-UA"/>
        </w:rPr>
        <w:t>, за системної роботи</w:t>
      </w:r>
      <w:r>
        <w:rPr>
          <w:bCs/>
          <w:iCs/>
          <w:sz w:val="28"/>
          <w:szCs w:val="28"/>
          <w:lang w:val="uk-UA"/>
        </w:rPr>
        <w:t xml:space="preserve"> яких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буде можливим</w:t>
      </w:r>
      <w:r w:rsidR="00306117" w:rsidRPr="00306117">
        <w:rPr>
          <w:bCs/>
          <w:iCs/>
          <w:sz w:val="28"/>
          <w:szCs w:val="28"/>
          <w:lang w:val="uk-UA"/>
        </w:rPr>
        <w:t xml:space="preserve"> формува</w:t>
      </w:r>
      <w:r>
        <w:rPr>
          <w:bCs/>
          <w:iCs/>
          <w:sz w:val="28"/>
          <w:szCs w:val="28"/>
          <w:lang w:val="uk-UA"/>
        </w:rPr>
        <w:t>ння</w:t>
      </w:r>
      <w:r w:rsidR="00306117" w:rsidRPr="00306117">
        <w:rPr>
          <w:bCs/>
          <w:iCs/>
          <w:sz w:val="28"/>
          <w:szCs w:val="28"/>
          <w:lang w:val="uk-UA"/>
        </w:rPr>
        <w:t xml:space="preserve"> даних </w:t>
      </w:r>
      <w:r>
        <w:rPr>
          <w:bCs/>
          <w:iCs/>
          <w:sz w:val="28"/>
          <w:szCs w:val="28"/>
          <w:lang w:val="uk-UA"/>
        </w:rPr>
        <w:t xml:space="preserve">щодо </w:t>
      </w:r>
      <w:r w:rsidR="00306117" w:rsidRPr="00306117">
        <w:rPr>
          <w:bCs/>
          <w:iCs/>
          <w:sz w:val="28"/>
          <w:szCs w:val="28"/>
          <w:lang w:val="uk-UA"/>
        </w:rPr>
        <w:t>кількості здійснених поїздок кожним пасажиром чи окремої їх категорії за будь-який визначений проміжок часу</w:t>
      </w:r>
      <w:r w:rsidRPr="00F6138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тощо</w:t>
      </w:r>
      <w:r w:rsidR="00306117" w:rsidRPr="00306117">
        <w:rPr>
          <w:bCs/>
          <w:i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>У зв’язку із цим</w:t>
      </w:r>
      <w:r w:rsidR="0057627C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 перспективі забезпечуватиметься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можливість використання д</w:t>
      </w:r>
      <w:r w:rsidR="00306117" w:rsidRPr="00306117">
        <w:rPr>
          <w:bCs/>
          <w:iCs/>
          <w:sz w:val="28"/>
          <w:szCs w:val="28"/>
          <w:lang w:val="uk-UA"/>
        </w:rPr>
        <w:t>одатков</w:t>
      </w:r>
      <w:r>
        <w:rPr>
          <w:bCs/>
          <w:iCs/>
          <w:sz w:val="28"/>
          <w:szCs w:val="28"/>
          <w:lang w:val="uk-UA"/>
        </w:rPr>
        <w:t>их</w:t>
      </w:r>
      <w:r w:rsidR="00306117" w:rsidRPr="00306117">
        <w:rPr>
          <w:bCs/>
          <w:iCs/>
          <w:sz w:val="28"/>
          <w:szCs w:val="28"/>
          <w:lang w:val="uk-UA"/>
        </w:rPr>
        <w:t xml:space="preserve"> інструмент</w:t>
      </w:r>
      <w:r>
        <w:rPr>
          <w:bCs/>
          <w:iCs/>
          <w:sz w:val="28"/>
          <w:szCs w:val="28"/>
          <w:lang w:val="uk-UA"/>
        </w:rPr>
        <w:t>ів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 w:rsidR="0057627C">
        <w:rPr>
          <w:bCs/>
          <w:iCs/>
          <w:sz w:val="28"/>
          <w:szCs w:val="28"/>
          <w:lang w:val="uk-UA"/>
        </w:rPr>
        <w:t xml:space="preserve">для </w:t>
      </w:r>
      <w:r w:rsidR="00306117" w:rsidRPr="00306117">
        <w:rPr>
          <w:bCs/>
          <w:iCs/>
          <w:sz w:val="28"/>
          <w:szCs w:val="28"/>
          <w:lang w:val="uk-UA"/>
        </w:rPr>
        <w:t xml:space="preserve">аналізу сфери </w:t>
      </w:r>
      <w:r>
        <w:rPr>
          <w:bCs/>
          <w:iCs/>
          <w:sz w:val="28"/>
          <w:szCs w:val="28"/>
          <w:lang w:val="uk-UA"/>
        </w:rPr>
        <w:t>міського пасажирського транспорту</w:t>
      </w:r>
      <w:r w:rsidR="00306117" w:rsidRPr="00306117">
        <w:rPr>
          <w:bCs/>
          <w:iCs/>
          <w:sz w:val="28"/>
          <w:szCs w:val="28"/>
          <w:lang w:val="uk-UA"/>
        </w:rPr>
        <w:t xml:space="preserve">. </w:t>
      </w:r>
      <w:r w:rsidR="009E4EFA">
        <w:rPr>
          <w:bCs/>
          <w:iCs/>
          <w:sz w:val="28"/>
          <w:szCs w:val="28"/>
          <w:lang w:val="uk-UA"/>
        </w:rPr>
        <w:t>Основними компонентами</w:t>
      </w:r>
      <w:r w:rsidR="00271373">
        <w:rPr>
          <w:bCs/>
          <w:iCs/>
          <w:sz w:val="28"/>
          <w:szCs w:val="28"/>
          <w:lang w:val="uk-UA"/>
        </w:rPr>
        <w:t xml:space="preserve"> АСООП </w:t>
      </w:r>
      <w:r w:rsidR="009E4EFA">
        <w:rPr>
          <w:bCs/>
          <w:iCs/>
          <w:sz w:val="28"/>
          <w:szCs w:val="28"/>
          <w:lang w:val="uk-UA"/>
        </w:rPr>
        <w:t>є: головний пристрій інформування водія, валідатор, програмне забезпечення, електронні картки. В</w:t>
      </w:r>
      <w:r w:rsidR="009E4EFA" w:rsidRPr="009E4EFA">
        <w:rPr>
          <w:color w:val="000000"/>
          <w:sz w:val="28"/>
          <w:szCs w:val="28"/>
          <w:shd w:val="clear" w:color="auto" w:fill="FFFFFF"/>
          <w:lang w:val="uk-UA"/>
        </w:rPr>
        <w:t>имог</w:t>
      </w:r>
      <w:r w:rsidR="009E4EF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E4EFA" w:rsidRPr="009E4EFA">
        <w:rPr>
          <w:color w:val="000000"/>
          <w:sz w:val="28"/>
          <w:szCs w:val="28"/>
          <w:shd w:val="clear" w:color="auto" w:fill="FFFFFF"/>
          <w:lang w:val="uk-UA"/>
        </w:rPr>
        <w:t xml:space="preserve"> до автоматизованої системи обліку оплати проїзду в міському пасажирському транспорті незалежно від форм власності, вид</w:t>
      </w:r>
      <w:r w:rsidR="009E4EFA">
        <w:rPr>
          <w:color w:val="000000"/>
          <w:sz w:val="28"/>
          <w:szCs w:val="28"/>
          <w:shd w:val="clear" w:color="auto" w:fill="FFFFFF"/>
          <w:lang w:val="uk-UA"/>
        </w:rPr>
        <w:t xml:space="preserve">и та </w:t>
      </w:r>
      <w:r w:rsidR="009E4EFA" w:rsidRPr="009E4EFA">
        <w:rPr>
          <w:color w:val="000000"/>
          <w:sz w:val="28"/>
          <w:szCs w:val="28"/>
          <w:shd w:val="clear" w:color="auto" w:fill="FFFFFF"/>
          <w:lang w:val="uk-UA"/>
        </w:rPr>
        <w:t>форм</w:t>
      </w:r>
      <w:r w:rsidR="009E4EF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E4EFA" w:rsidRPr="009E4EFA">
        <w:rPr>
          <w:color w:val="000000"/>
          <w:sz w:val="28"/>
          <w:szCs w:val="28"/>
          <w:shd w:val="clear" w:color="auto" w:fill="FFFFFF"/>
          <w:lang w:val="uk-UA"/>
        </w:rPr>
        <w:t xml:space="preserve"> носіїв, поряд</w:t>
      </w:r>
      <w:r w:rsidR="009E4EFA">
        <w:rPr>
          <w:color w:val="000000"/>
          <w:sz w:val="28"/>
          <w:szCs w:val="28"/>
          <w:shd w:val="clear" w:color="auto" w:fill="FFFFFF"/>
          <w:lang w:val="uk-UA"/>
        </w:rPr>
        <w:t>ок</w:t>
      </w:r>
      <w:r w:rsidR="009E4EFA" w:rsidRPr="009E4EFA">
        <w:rPr>
          <w:color w:val="000000"/>
          <w:sz w:val="28"/>
          <w:szCs w:val="28"/>
          <w:shd w:val="clear" w:color="auto" w:fill="FFFFFF"/>
          <w:lang w:val="uk-UA"/>
        </w:rPr>
        <w:t xml:space="preserve"> обігу та реєстрації проїзних документів</w:t>
      </w:r>
      <w:r w:rsidR="009E4EFA">
        <w:rPr>
          <w:color w:val="000000"/>
          <w:sz w:val="28"/>
          <w:szCs w:val="28"/>
          <w:shd w:val="clear" w:color="auto" w:fill="FFFFFF"/>
          <w:lang w:val="uk-UA"/>
        </w:rPr>
        <w:t xml:space="preserve"> визначатиметься окремим рішенням виконавчого комітету Сумської міської ради.</w:t>
      </w:r>
    </w:p>
    <w:p w:rsidR="001C3B49" w:rsidRPr="00620602" w:rsidRDefault="00F61387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620602">
        <w:rPr>
          <w:sz w:val="28"/>
          <w:szCs w:val="28"/>
          <w:lang w:val="uk-UA"/>
        </w:rPr>
        <w:t xml:space="preserve">Реалізація програми планується в </w:t>
      </w:r>
      <w:r w:rsidR="00F54D69" w:rsidRPr="00620602">
        <w:rPr>
          <w:sz w:val="28"/>
          <w:szCs w:val="28"/>
          <w:lang w:val="uk-UA"/>
        </w:rPr>
        <w:t>чотири</w:t>
      </w:r>
      <w:r w:rsidRPr="00620602">
        <w:rPr>
          <w:sz w:val="28"/>
          <w:szCs w:val="28"/>
          <w:lang w:val="uk-UA"/>
        </w:rPr>
        <w:t xml:space="preserve"> етапи</w:t>
      </w:r>
      <w:r w:rsidR="001C3B49" w:rsidRPr="00620602">
        <w:rPr>
          <w:sz w:val="28"/>
          <w:szCs w:val="28"/>
          <w:lang w:val="uk-UA"/>
        </w:rPr>
        <w:t>, опис яких наведено нижче.</w:t>
      </w:r>
    </w:p>
    <w:p w:rsidR="001C3B49" w:rsidRPr="00620602" w:rsidRDefault="00DD40C1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620602">
        <w:rPr>
          <w:sz w:val="28"/>
          <w:szCs w:val="28"/>
          <w:lang w:val="uk-UA"/>
        </w:rPr>
        <w:lastRenderedPageBreak/>
        <w:t xml:space="preserve">Під час реалізації першого </w:t>
      </w:r>
      <w:r w:rsidR="00F54D69" w:rsidRPr="00620602">
        <w:rPr>
          <w:sz w:val="28"/>
          <w:szCs w:val="28"/>
          <w:lang w:val="uk-UA"/>
        </w:rPr>
        <w:t>етапу програми (протягом 2020</w:t>
      </w:r>
      <w:r w:rsidR="004A0D40">
        <w:rPr>
          <w:sz w:val="28"/>
          <w:szCs w:val="28"/>
          <w:lang w:val="uk-UA"/>
        </w:rPr>
        <w:t xml:space="preserve"> </w:t>
      </w:r>
      <w:r w:rsidRPr="00620602">
        <w:rPr>
          <w:sz w:val="28"/>
          <w:szCs w:val="28"/>
          <w:lang w:val="uk-UA"/>
        </w:rPr>
        <w:t xml:space="preserve">р.) міською владою буде виконано ряд заходів організаційно-нормативної підтримки, спрямованих на залучення </w:t>
      </w:r>
      <w:r w:rsidR="00F20006" w:rsidRPr="00F20006">
        <w:rPr>
          <w:sz w:val="28"/>
          <w:szCs w:val="28"/>
          <w:lang w:val="uk-UA"/>
        </w:rPr>
        <w:t>уповноваженої особи на справляння  плати за транспортні послуги в міському пасажирському транспорті</w:t>
      </w:r>
      <w:r w:rsidRPr="00620602">
        <w:rPr>
          <w:sz w:val="28"/>
          <w:szCs w:val="28"/>
          <w:lang w:val="uk-UA"/>
        </w:rPr>
        <w:t xml:space="preserve"> (інвестора), створення передумов для впровадження автоматизованої системи, а також забезпечення організаційної підтримки та популяризації проекту</w:t>
      </w:r>
      <w:r w:rsidR="00F54D69" w:rsidRPr="00620602">
        <w:rPr>
          <w:sz w:val="28"/>
          <w:szCs w:val="28"/>
          <w:lang w:val="uk-UA"/>
        </w:rPr>
        <w:t xml:space="preserve">. </w:t>
      </w:r>
    </w:p>
    <w:p w:rsidR="00620602" w:rsidRPr="00620602" w:rsidRDefault="00F54D69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620602">
        <w:rPr>
          <w:sz w:val="28"/>
          <w:szCs w:val="28"/>
          <w:lang w:val="uk-UA"/>
        </w:rPr>
        <w:t>На другому етапі (202</w:t>
      </w:r>
      <w:r w:rsidR="00620602" w:rsidRPr="00620602">
        <w:rPr>
          <w:sz w:val="28"/>
          <w:szCs w:val="28"/>
          <w:lang w:val="uk-UA"/>
        </w:rPr>
        <w:t>0-2022</w:t>
      </w:r>
      <w:r w:rsidRPr="00620602">
        <w:rPr>
          <w:sz w:val="28"/>
          <w:szCs w:val="28"/>
          <w:lang w:val="uk-UA"/>
        </w:rPr>
        <w:t xml:space="preserve"> </w:t>
      </w:r>
      <w:r w:rsidR="00620602" w:rsidRPr="00620602">
        <w:rPr>
          <w:sz w:val="28"/>
          <w:szCs w:val="28"/>
          <w:lang w:val="uk-UA"/>
        </w:rPr>
        <w:t>р</w:t>
      </w:r>
      <w:r w:rsidRPr="00620602">
        <w:rPr>
          <w:sz w:val="28"/>
          <w:szCs w:val="28"/>
          <w:lang w:val="uk-UA"/>
        </w:rPr>
        <w:t>р.) планується</w:t>
      </w:r>
      <w:r w:rsidR="00030D55" w:rsidRPr="00620602">
        <w:rPr>
          <w:sz w:val="28"/>
          <w:szCs w:val="28"/>
          <w:lang w:val="uk-UA"/>
        </w:rPr>
        <w:t xml:space="preserve"> виготовлення </w:t>
      </w:r>
      <w:r w:rsidR="00620602" w:rsidRPr="00620602">
        <w:rPr>
          <w:sz w:val="28"/>
          <w:szCs w:val="28"/>
          <w:lang w:val="uk-UA"/>
        </w:rPr>
        <w:t>е-</w:t>
      </w:r>
      <w:r w:rsidR="00030D55" w:rsidRPr="00620602">
        <w:rPr>
          <w:sz w:val="28"/>
          <w:szCs w:val="28"/>
          <w:lang w:val="uk-UA"/>
        </w:rPr>
        <w:t>квитків</w:t>
      </w:r>
      <w:r w:rsidR="00620602" w:rsidRPr="00620602">
        <w:rPr>
          <w:sz w:val="28"/>
          <w:szCs w:val="28"/>
          <w:lang w:val="uk-UA"/>
        </w:rPr>
        <w:t xml:space="preserve"> для платних та пільгової категорії пасажирів</w:t>
      </w:r>
      <w:r w:rsidR="00DD40C1" w:rsidRPr="00620602">
        <w:rPr>
          <w:sz w:val="28"/>
          <w:szCs w:val="28"/>
          <w:lang w:val="uk-UA"/>
        </w:rPr>
        <w:t>.</w:t>
      </w:r>
      <w:r w:rsidRPr="00620602">
        <w:rPr>
          <w:sz w:val="28"/>
          <w:szCs w:val="28"/>
          <w:lang w:val="uk-UA"/>
        </w:rPr>
        <w:t xml:space="preserve"> </w:t>
      </w:r>
      <w:r w:rsidR="00620602" w:rsidRPr="00620602">
        <w:rPr>
          <w:sz w:val="28"/>
          <w:szCs w:val="28"/>
          <w:lang w:val="uk-UA"/>
        </w:rPr>
        <w:t xml:space="preserve">Орієнтовні суми коштів та розрахунки на виготовлення е-квитків наведені у додатках 2-5 до цього рішення. </w:t>
      </w:r>
    </w:p>
    <w:p w:rsidR="00620602" w:rsidRDefault="00F61387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620602">
        <w:rPr>
          <w:sz w:val="28"/>
          <w:szCs w:val="28"/>
          <w:lang w:val="uk-UA"/>
        </w:rPr>
        <w:t xml:space="preserve">Протягом </w:t>
      </w:r>
      <w:r w:rsidR="00F54D69" w:rsidRPr="00620602">
        <w:rPr>
          <w:sz w:val="28"/>
          <w:szCs w:val="28"/>
          <w:lang w:val="uk-UA"/>
        </w:rPr>
        <w:t>третього</w:t>
      </w:r>
      <w:r w:rsidR="00DD40C1" w:rsidRPr="00620602">
        <w:rPr>
          <w:sz w:val="28"/>
          <w:szCs w:val="28"/>
          <w:lang w:val="uk-UA"/>
        </w:rPr>
        <w:t xml:space="preserve"> етапу (202</w:t>
      </w:r>
      <w:r w:rsidR="00620602">
        <w:rPr>
          <w:sz w:val="28"/>
          <w:szCs w:val="28"/>
          <w:lang w:val="uk-UA"/>
        </w:rPr>
        <w:t>0</w:t>
      </w:r>
      <w:r w:rsidR="00030D55" w:rsidRPr="00620602">
        <w:rPr>
          <w:sz w:val="28"/>
          <w:szCs w:val="28"/>
          <w:lang w:val="uk-UA"/>
        </w:rPr>
        <w:t>-2022</w:t>
      </w:r>
      <w:r w:rsidR="00DD40C1" w:rsidRPr="00620602">
        <w:rPr>
          <w:sz w:val="28"/>
          <w:szCs w:val="28"/>
          <w:lang w:val="uk-UA"/>
        </w:rPr>
        <w:t xml:space="preserve"> </w:t>
      </w:r>
      <w:r w:rsidRPr="00620602">
        <w:rPr>
          <w:sz w:val="28"/>
          <w:szCs w:val="28"/>
          <w:lang w:val="uk-UA"/>
        </w:rPr>
        <w:t>р</w:t>
      </w:r>
      <w:r w:rsidR="00030D55" w:rsidRPr="00620602">
        <w:rPr>
          <w:sz w:val="28"/>
          <w:szCs w:val="28"/>
          <w:lang w:val="uk-UA"/>
        </w:rPr>
        <w:t>р</w:t>
      </w:r>
      <w:r w:rsidRPr="00620602">
        <w:rPr>
          <w:sz w:val="28"/>
          <w:szCs w:val="28"/>
          <w:lang w:val="uk-UA"/>
        </w:rPr>
        <w:t>.) передбачається впровадження АСООП в міському комунальному транспорті,</w:t>
      </w:r>
      <w:r w:rsidR="00620602">
        <w:rPr>
          <w:sz w:val="28"/>
          <w:szCs w:val="28"/>
          <w:lang w:val="uk-UA"/>
        </w:rPr>
        <w:t xml:space="preserve"> що включає встановлення обладнання і пристроїв, тестування системи та введення її в експлуатацію.</w:t>
      </w:r>
    </w:p>
    <w:p w:rsidR="00620602" w:rsidRDefault="00620602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61387" w:rsidRPr="00620602">
        <w:rPr>
          <w:sz w:val="28"/>
          <w:szCs w:val="28"/>
          <w:lang w:val="uk-UA"/>
        </w:rPr>
        <w:t xml:space="preserve">а </w:t>
      </w:r>
      <w:r w:rsidR="00F54D69" w:rsidRPr="00620602">
        <w:rPr>
          <w:sz w:val="28"/>
          <w:szCs w:val="28"/>
          <w:lang w:val="uk-UA"/>
        </w:rPr>
        <w:t>четверт</w:t>
      </w:r>
      <w:r w:rsidR="00DD40C1" w:rsidRPr="00620602">
        <w:rPr>
          <w:sz w:val="28"/>
          <w:szCs w:val="28"/>
          <w:lang w:val="uk-UA"/>
        </w:rPr>
        <w:t>ому</w:t>
      </w:r>
      <w:r w:rsidR="00F61387" w:rsidRPr="00620602">
        <w:rPr>
          <w:sz w:val="28"/>
          <w:szCs w:val="28"/>
          <w:lang w:val="uk-UA"/>
        </w:rPr>
        <w:t xml:space="preserve"> етапі (2022 р.) </w:t>
      </w:r>
      <w:r>
        <w:rPr>
          <w:sz w:val="28"/>
          <w:szCs w:val="28"/>
          <w:lang w:val="uk-UA"/>
        </w:rPr>
        <w:t>планується впровадження АСООП</w:t>
      </w:r>
      <w:r w:rsidR="00F61387" w:rsidRPr="00620602">
        <w:rPr>
          <w:sz w:val="28"/>
          <w:szCs w:val="28"/>
          <w:lang w:val="uk-UA"/>
        </w:rPr>
        <w:t xml:space="preserve"> у міському приватному транспорті. </w:t>
      </w:r>
    </w:p>
    <w:p w:rsidR="00F61387" w:rsidRDefault="001E63E9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620602">
        <w:rPr>
          <w:sz w:val="28"/>
          <w:szCs w:val="28"/>
          <w:lang w:val="uk-UA"/>
        </w:rPr>
        <w:t>Терміни поетапного впровадження АСООП в міському комунальному та приватному транспорті можуть бути відкориговані за домовленістю з інвестором.</w:t>
      </w:r>
      <w:r>
        <w:rPr>
          <w:sz w:val="28"/>
          <w:szCs w:val="28"/>
          <w:lang w:val="uk-UA"/>
        </w:rPr>
        <w:t xml:space="preserve"> </w:t>
      </w:r>
    </w:p>
    <w:p w:rsidR="005875B3" w:rsidRPr="00C85B1B" w:rsidRDefault="00E641BB" w:rsidP="005875B3">
      <w:pPr>
        <w:spacing w:before="240" w:after="60"/>
        <w:jc w:val="center"/>
        <w:outlineLvl w:val="4"/>
        <w:rPr>
          <w:b/>
          <w:bCs/>
          <w:iCs/>
          <w:caps/>
          <w:color w:val="000000"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2</w:t>
      </w:r>
      <w:r w:rsidR="005875B3" w:rsidRPr="00C85B1B">
        <w:rPr>
          <w:b/>
          <w:bCs/>
          <w:iCs/>
          <w:caps/>
          <w:sz w:val="28"/>
          <w:szCs w:val="28"/>
          <w:lang w:val="uk-UA"/>
        </w:rPr>
        <w:t xml:space="preserve">. </w:t>
      </w:r>
      <w:r w:rsidR="005875B3" w:rsidRPr="00C85B1B">
        <w:rPr>
          <w:b/>
          <w:bCs/>
          <w:iCs/>
          <w:sz w:val="28"/>
          <w:szCs w:val="28"/>
          <w:lang w:val="uk-UA"/>
        </w:rPr>
        <w:t>Паспорт Програми</w:t>
      </w:r>
      <w:r w:rsidR="005875B3" w:rsidRPr="00C85B1B">
        <w:rPr>
          <w:b/>
          <w:bCs/>
          <w:iCs/>
          <w:caps/>
          <w:sz w:val="28"/>
          <w:szCs w:val="28"/>
          <w:lang w:val="uk-UA"/>
        </w:rPr>
        <w:t xml:space="preserve"> </w:t>
      </w:r>
      <w:r w:rsidR="005875B3" w:rsidRPr="00C85B1B">
        <w:rPr>
          <w:b/>
          <w:bCs/>
          <w:iCs/>
          <w:caps/>
          <w:color w:val="000000"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4823EE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432363" w:rsidRPr="00C85B1B" w:rsidRDefault="00432363" w:rsidP="007456C2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F4652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85B1B">
              <w:rPr>
                <w:sz w:val="28"/>
                <w:szCs w:val="28"/>
                <w:lang w:val="uk-UA"/>
              </w:rPr>
              <w:t>. Розробник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3" w:rsidRPr="00C85B1B" w:rsidRDefault="00432363" w:rsidP="00B77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(в</w:t>
            </w:r>
            <w:r w:rsidR="005875B3" w:rsidRPr="00C85B1B">
              <w:rPr>
                <w:color w:val="000000"/>
                <w:sz w:val="28"/>
                <w:lang w:val="uk-UA"/>
              </w:rPr>
              <w:t xml:space="preserve">ідділ </w:t>
            </w:r>
            <w:r w:rsidR="005875B3">
              <w:rPr>
                <w:color w:val="000000"/>
                <w:sz w:val="28"/>
                <w:lang w:val="uk-UA"/>
              </w:rPr>
              <w:t>транспорту,</w:t>
            </w:r>
            <w:r w:rsidR="005875B3" w:rsidRPr="00C85B1B">
              <w:rPr>
                <w:color w:val="000000"/>
                <w:sz w:val="28"/>
                <w:lang w:val="uk-UA"/>
              </w:rPr>
              <w:t xml:space="preserve"> зв’язку </w:t>
            </w:r>
            <w:r w:rsidR="005875B3">
              <w:rPr>
                <w:color w:val="000000"/>
                <w:sz w:val="28"/>
                <w:lang w:val="uk-UA"/>
              </w:rPr>
              <w:t xml:space="preserve">та телекомунікаційних послуг </w:t>
            </w:r>
            <w:r w:rsidR="005875B3" w:rsidRPr="00C85B1B">
              <w:rPr>
                <w:color w:val="000000"/>
                <w:sz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lang w:val="uk-UA"/>
              </w:rPr>
              <w:t>)</w:t>
            </w:r>
          </w:p>
        </w:tc>
      </w:tr>
      <w:tr w:rsidR="005875B3" w:rsidRPr="00F4652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85B1B">
              <w:rPr>
                <w:sz w:val="28"/>
                <w:szCs w:val="28"/>
                <w:lang w:val="uk-UA"/>
              </w:rPr>
              <w:t>. Співрозробники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DD40C1" w:rsidP="007456C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</w:t>
            </w:r>
            <w:r w:rsidR="00432363">
              <w:rPr>
                <w:sz w:val="28"/>
                <w:szCs w:val="28"/>
                <w:lang w:val="uk-UA"/>
              </w:rPr>
              <w:t>иконавчий комітет Сумської міської ради (</w:t>
            </w:r>
            <w:r w:rsidR="005875B3" w:rsidRPr="00C85B1B">
              <w:rPr>
                <w:sz w:val="28"/>
                <w:szCs w:val="28"/>
                <w:lang w:val="uk-UA"/>
              </w:rPr>
              <w:t>відділ бухгалтерського обліку та звітності Сумської міської ради</w:t>
            </w:r>
            <w:r w:rsidR="00432363">
              <w:rPr>
                <w:sz w:val="28"/>
                <w:szCs w:val="28"/>
                <w:lang w:val="uk-UA"/>
              </w:rPr>
              <w:t>)</w:t>
            </w:r>
          </w:p>
          <w:p w:rsidR="00432363" w:rsidRPr="00C85B1B" w:rsidRDefault="00432363" w:rsidP="007456C2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F4652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85B1B">
              <w:rPr>
                <w:sz w:val="28"/>
                <w:szCs w:val="28"/>
                <w:lang w:val="uk-UA"/>
              </w:rPr>
              <w:t>. Відповідальн</w:t>
            </w:r>
            <w:r w:rsidR="00DD40C1">
              <w:rPr>
                <w:sz w:val="28"/>
                <w:szCs w:val="28"/>
                <w:lang w:val="uk-UA"/>
              </w:rPr>
              <w:t>і</w:t>
            </w:r>
            <w:r w:rsidRPr="00C85B1B">
              <w:rPr>
                <w:sz w:val="28"/>
                <w:szCs w:val="28"/>
                <w:lang w:val="uk-UA"/>
              </w:rPr>
              <w:t xml:space="preserve"> виконав</w:t>
            </w:r>
            <w:r w:rsidR="00DD40C1">
              <w:rPr>
                <w:sz w:val="28"/>
                <w:szCs w:val="28"/>
                <w:lang w:val="uk-UA"/>
              </w:rPr>
              <w:t xml:space="preserve">ці </w:t>
            </w:r>
            <w:r w:rsidRPr="00C85B1B">
              <w:rPr>
                <w:sz w:val="28"/>
                <w:szCs w:val="28"/>
                <w:lang w:val="uk-UA"/>
              </w:rPr>
              <w:t>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6201D7" w:rsidRDefault="005875B3" w:rsidP="00432363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color w:val="000000"/>
                <w:sz w:val="28"/>
                <w:lang w:val="uk-UA"/>
              </w:rPr>
              <w:t xml:space="preserve">Комунальне підприємство Сумської міської ради «Електроавтотранс», </w:t>
            </w:r>
            <w:r w:rsidR="004823EE">
              <w:rPr>
                <w:color w:val="000000"/>
                <w:sz w:val="28"/>
                <w:lang w:val="uk-UA"/>
              </w:rPr>
              <w:t>Департамент соціального захисту населення</w:t>
            </w:r>
            <w:r w:rsidR="004823EE" w:rsidRPr="00C85B1B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 </w:t>
            </w:r>
            <w:r w:rsidR="00432363">
              <w:rPr>
                <w:sz w:val="28"/>
                <w:szCs w:val="28"/>
                <w:lang w:val="uk-UA"/>
              </w:rPr>
              <w:t>виконавчий комітет Сумської міської ради (</w:t>
            </w:r>
            <w:r w:rsidRPr="00C85B1B">
              <w:rPr>
                <w:color w:val="000000"/>
                <w:sz w:val="28"/>
                <w:lang w:val="uk-UA"/>
              </w:rPr>
              <w:t xml:space="preserve">відділ </w:t>
            </w:r>
            <w:r w:rsidRPr="00B94F45">
              <w:rPr>
                <w:color w:val="000000"/>
                <w:sz w:val="28"/>
                <w:lang w:val="uk-UA"/>
              </w:rPr>
              <w:t>транспорту, зв’язку та телекомунікаційних послуг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, </w:t>
            </w:r>
            <w:r w:rsidRPr="00C85B1B">
              <w:rPr>
                <w:sz w:val="28"/>
                <w:szCs w:val="28"/>
                <w:lang w:val="uk-UA"/>
              </w:rPr>
              <w:t>відділ бухгалтерського обліку та звітності Сумської міської ради</w:t>
            </w:r>
            <w:r w:rsidR="00432363">
              <w:rPr>
                <w:sz w:val="28"/>
                <w:szCs w:val="28"/>
                <w:lang w:val="uk-UA"/>
              </w:rPr>
              <w:t>)</w:t>
            </w:r>
            <w:r w:rsidRPr="00C85B1B">
              <w:rPr>
                <w:sz w:val="28"/>
                <w:szCs w:val="28"/>
                <w:lang w:val="uk-UA"/>
              </w:rPr>
              <w:t xml:space="preserve">, </w:t>
            </w:r>
            <w:r w:rsidR="00432363">
              <w:rPr>
                <w:sz w:val="28"/>
                <w:szCs w:val="28"/>
                <w:lang w:val="uk-UA"/>
              </w:rPr>
              <w:t>перевізники м. Суми (юридичні особи та фізичні особи-підприємці)</w:t>
            </w:r>
            <w:r w:rsidR="00030D55">
              <w:rPr>
                <w:sz w:val="28"/>
                <w:szCs w:val="28"/>
                <w:lang w:val="uk-UA"/>
              </w:rPr>
              <w:t xml:space="preserve">, </w:t>
            </w:r>
            <w:r w:rsidR="006201D7">
              <w:rPr>
                <w:sz w:val="28"/>
                <w:szCs w:val="28"/>
                <w:lang w:val="uk-UA"/>
              </w:rPr>
              <w:t xml:space="preserve">інвестор, </w:t>
            </w:r>
            <w:r w:rsidR="00030D55">
              <w:rPr>
                <w:sz w:val="28"/>
                <w:szCs w:val="28"/>
                <w:lang w:val="uk-UA"/>
              </w:rPr>
              <w:lastRenderedPageBreak/>
              <w:t xml:space="preserve">населення </w:t>
            </w:r>
            <w:r w:rsidR="006201D7">
              <w:rPr>
                <w:sz w:val="28"/>
                <w:szCs w:val="28"/>
                <w:lang w:val="uk-UA"/>
              </w:rPr>
              <w:t>Сумської міської ОТГ</w:t>
            </w:r>
          </w:p>
          <w:p w:rsidR="00432363" w:rsidRPr="00C85B1B" w:rsidRDefault="00432363" w:rsidP="00432363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432363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5875B3" w:rsidRPr="00C85B1B">
              <w:rPr>
                <w:sz w:val="28"/>
                <w:szCs w:val="28"/>
                <w:lang w:val="uk-UA"/>
              </w:rPr>
              <w:t>. Термін реалізації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4823EE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20</w:t>
            </w:r>
            <w:r w:rsidR="004823EE">
              <w:rPr>
                <w:sz w:val="28"/>
                <w:szCs w:val="28"/>
                <w:lang w:val="uk-UA"/>
              </w:rPr>
              <w:t>20</w:t>
            </w:r>
            <w:r w:rsidRPr="00C85B1B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  <w:r w:rsidR="004823EE">
              <w:rPr>
                <w:sz w:val="28"/>
                <w:szCs w:val="28"/>
                <w:lang w:val="uk-UA"/>
              </w:rPr>
              <w:t>2</w:t>
            </w:r>
            <w:r w:rsidRPr="00C85B1B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A3130E" w:rsidRPr="00F4652B" w:rsidTr="003232D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30E" w:rsidRPr="00A3130E" w:rsidRDefault="00FE2420" w:rsidP="00A3130E">
            <w:pPr>
              <w:ind w:right="8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A3130E" w:rsidRPr="00A3130E">
              <w:rPr>
                <w:color w:val="000000"/>
                <w:sz w:val="28"/>
                <w:szCs w:val="28"/>
                <w:lang w:val="uk-UA"/>
              </w:rPr>
              <w:t>.1.Етапи виконання програми</w:t>
            </w:r>
          </w:p>
          <w:p w:rsidR="00A3130E" w:rsidRPr="00A3130E" w:rsidRDefault="00A3130E" w:rsidP="00A3130E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0E" w:rsidRPr="00A3130E" w:rsidRDefault="00A3130E" w:rsidP="00A3130E">
            <w:pPr>
              <w:jc w:val="both"/>
              <w:rPr>
                <w:sz w:val="28"/>
                <w:szCs w:val="28"/>
                <w:lang w:val="uk-UA"/>
              </w:rPr>
            </w:pPr>
            <w:r w:rsidRPr="00A3130E">
              <w:rPr>
                <w:sz w:val="28"/>
                <w:szCs w:val="28"/>
                <w:lang w:val="uk-UA"/>
              </w:rPr>
              <w:t>І етап 20</w:t>
            </w:r>
            <w:r>
              <w:rPr>
                <w:sz w:val="28"/>
                <w:szCs w:val="28"/>
                <w:lang w:val="uk-UA"/>
              </w:rPr>
              <w:t>20</w:t>
            </w:r>
            <w:r w:rsidR="004A0D40">
              <w:rPr>
                <w:sz w:val="28"/>
                <w:szCs w:val="28"/>
                <w:lang w:val="uk-UA"/>
              </w:rPr>
              <w:t xml:space="preserve"> </w:t>
            </w:r>
            <w:r w:rsidR="009E4297">
              <w:rPr>
                <w:sz w:val="28"/>
                <w:szCs w:val="28"/>
                <w:lang w:val="uk-UA"/>
              </w:rPr>
              <w:t>р</w:t>
            </w:r>
            <w:r w:rsidR="006201D7">
              <w:rPr>
                <w:sz w:val="28"/>
                <w:szCs w:val="28"/>
                <w:lang w:val="uk-UA"/>
              </w:rPr>
              <w:t>.</w:t>
            </w:r>
          </w:p>
          <w:p w:rsidR="00A3130E" w:rsidRDefault="00A3130E" w:rsidP="00A3130E">
            <w:pPr>
              <w:jc w:val="both"/>
              <w:rPr>
                <w:sz w:val="28"/>
                <w:szCs w:val="28"/>
                <w:lang w:val="uk-UA"/>
              </w:rPr>
            </w:pPr>
            <w:r w:rsidRPr="00A3130E">
              <w:rPr>
                <w:sz w:val="28"/>
                <w:szCs w:val="28"/>
                <w:lang w:val="uk-UA"/>
              </w:rPr>
              <w:t xml:space="preserve">ІІ етап </w:t>
            </w:r>
            <w:r w:rsidR="00B7768C">
              <w:rPr>
                <w:sz w:val="28"/>
                <w:szCs w:val="28"/>
                <w:lang w:val="uk-UA"/>
              </w:rPr>
              <w:t>202</w:t>
            </w:r>
            <w:r w:rsidR="006201D7">
              <w:rPr>
                <w:sz w:val="28"/>
                <w:szCs w:val="28"/>
                <w:lang w:val="uk-UA"/>
              </w:rPr>
              <w:t>0-2022</w:t>
            </w:r>
            <w:r w:rsidR="00B7768C">
              <w:rPr>
                <w:sz w:val="28"/>
                <w:szCs w:val="28"/>
                <w:lang w:val="uk-UA"/>
              </w:rPr>
              <w:t xml:space="preserve"> </w:t>
            </w:r>
            <w:r w:rsidR="00030D55">
              <w:rPr>
                <w:sz w:val="28"/>
                <w:szCs w:val="28"/>
                <w:lang w:val="uk-UA"/>
              </w:rPr>
              <w:t>р</w:t>
            </w:r>
            <w:r w:rsidR="006201D7">
              <w:rPr>
                <w:sz w:val="28"/>
                <w:szCs w:val="28"/>
                <w:lang w:val="uk-UA"/>
              </w:rPr>
              <w:t>р</w:t>
            </w:r>
            <w:r w:rsidR="00030D55">
              <w:rPr>
                <w:sz w:val="28"/>
                <w:szCs w:val="28"/>
                <w:lang w:val="uk-UA"/>
              </w:rPr>
              <w:t>.</w:t>
            </w:r>
          </w:p>
          <w:p w:rsidR="00252E53" w:rsidRDefault="00252E53" w:rsidP="00A313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етап </w:t>
            </w:r>
            <w:r w:rsidR="00B7768C" w:rsidRPr="00A3130E">
              <w:rPr>
                <w:sz w:val="28"/>
                <w:szCs w:val="28"/>
                <w:lang w:val="uk-UA"/>
              </w:rPr>
              <w:t>20</w:t>
            </w:r>
            <w:r w:rsidR="00B7768C">
              <w:rPr>
                <w:sz w:val="28"/>
                <w:szCs w:val="28"/>
                <w:lang w:val="uk-UA"/>
              </w:rPr>
              <w:t>2</w:t>
            </w:r>
            <w:r w:rsidR="006201D7">
              <w:rPr>
                <w:sz w:val="28"/>
                <w:szCs w:val="28"/>
                <w:lang w:val="uk-UA"/>
              </w:rPr>
              <w:t>0</w:t>
            </w:r>
            <w:r w:rsidR="00B7768C">
              <w:rPr>
                <w:sz w:val="28"/>
                <w:szCs w:val="28"/>
                <w:lang w:val="uk-UA"/>
              </w:rPr>
              <w:t>-202</w:t>
            </w:r>
            <w:r w:rsidR="00B7768C" w:rsidRPr="00B7768C">
              <w:rPr>
                <w:sz w:val="28"/>
                <w:szCs w:val="28"/>
                <w:lang w:val="uk-UA"/>
              </w:rPr>
              <w:t>2</w:t>
            </w:r>
            <w:r w:rsidR="00B7768C">
              <w:rPr>
                <w:sz w:val="28"/>
                <w:szCs w:val="28"/>
                <w:lang w:val="uk-UA"/>
              </w:rPr>
              <w:t xml:space="preserve"> рр.</w:t>
            </w:r>
          </w:p>
          <w:p w:rsidR="00B7768C" w:rsidRPr="00A3130E" w:rsidRDefault="00B7768C" w:rsidP="00B7768C">
            <w:pPr>
              <w:jc w:val="both"/>
              <w:rPr>
                <w:sz w:val="28"/>
                <w:szCs w:val="28"/>
                <w:lang w:val="uk-UA"/>
              </w:rPr>
            </w:pPr>
            <w:r w:rsidRPr="00B7768C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Pr="00B7768C">
              <w:rPr>
                <w:sz w:val="28"/>
                <w:szCs w:val="28"/>
                <w:lang w:val="uk-UA"/>
              </w:rPr>
              <w:t xml:space="preserve"> етап 202</w:t>
            </w:r>
            <w:r w:rsidRPr="00252254">
              <w:rPr>
                <w:sz w:val="28"/>
                <w:szCs w:val="28"/>
                <w:lang w:val="uk-UA"/>
              </w:rPr>
              <w:t xml:space="preserve">2 </w:t>
            </w:r>
            <w:r w:rsidRPr="00B7768C">
              <w:rPr>
                <w:sz w:val="28"/>
                <w:szCs w:val="28"/>
                <w:lang w:val="uk-UA"/>
              </w:rPr>
              <w:t>р.</w:t>
            </w:r>
          </w:p>
        </w:tc>
      </w:tr>
      <w:tr w:rsidR="005875B3" w:rsidRPr="00F4652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875B3" w:rsidRPr="00C85B1B">
              <w:rPr>
                <w:sz w:val="28"/>
                <w:szCs w:val="28"/>
                <w:lang w:val="uk-UA"/>
              </w:rPr>
              <w:t>. Перелік бюджетів, які беруть участь у виконанні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DE63C5" w:rsidP="00620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432363">
              <w:rPr>
                <w:sz w:val="28"/>
                <w:szCs w:val="28"/>
                <w:lang w:val="uk-UA"/>
              </w:rPr>
              <w:t>, кошти інших джерел (кошти інвестора</w:t>
            </w:r>
            <w:r w:rsidR="00030D55">
              <w:rPr>
                <w:sz w:val="28"/>
                <w:szCs w:val="28"/>
                <w:lang w:val="uk-UA"/>
              </w:rPr>
              <w:t xml:space="preserve">, кошти населення </w:t>
            </w:r>
            <w:r w:rsidR="006201D7">
              <w:rPr>
                <w:sz w:val="28"/>
                <w:szCs w:val="28"/>
                <w:lang w:val="uk-UA"/>
              </w:rPr>
              <w:t>Сумської міської ОТГ</w:t>
            </w:r>
            <w:r w:rsidR="00432363">
              <w:rPr>
                <w:sz w:val="28"/>
                <w:szCs w:val="28"/>
                <w:lang w:val="uk-UA"/>
              </w:rPr>
              <w:t>)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8E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875B3" w:rsidRPr="00C85B1B">
              <w:rPr>
                <w:sz w:val="28"/>
                <w:szCs w:val="28"/>
                <w:lang w:val="uk-UA"/>
              </w:rPr>
              <w:t>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8E4842" w:rsidP="00030D5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39 275,5</w:t>
            </w:r>
            <w:r w:rsidR="00B269FC">
              <w:rPr>
                <w:color w:val="000000"/>
                <w:sz w:val="28"/>
                <w:lang w:val="uk-UA"/>
              </w:rPr>
              <w:t xml:space="preserve">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 xml:space="preserve">8.1. коштів </w:t>
            </w:r>
            <w:r>
              <w:rPr>
                <w:sz w:val="28"/>
                <w:szCs w:val="28"/>
                <w:lang w:val="uk-UA"/>
              </w:rPr>
              <w:t>державного</w:t>
            </w:r>
            <w:r w:rsidRPr="00C85B1B">
              <w:rPr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 w:rsidRPr="00C85B1B">
              <w:rPr>
                <w:color w:val="000000"/>
                <w:sz w:val="28"/>
                <w:lang w:val="uk-UA"/>
              </w:rPr>
              <w:t xml:space="preserve">0,00 </w:t>
            </w:r>
            <w:r>
              <w:rPr>
                <w:color w:val="000000"/>
                <w:sz w:val="28"/>
                <w:lang w:val="uk-UA"/>
              </w:rPr>
              <w:t>тис</w:t>
            </w:r>
            <w:r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E141E3" w:rsidRDefault="005875B3" w:rsidP="007456C2">
            <w:pPr>
              <w:rPr>
                <w:sz w:val="28"/>
                <w:szCs w:val="28"/>
              </w:rPr>
            </w:pPr>
            <w:r w:rsidRPr="00E141E3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2</w:t>
            </w:r>
            <w:r w:rsidRPr="00E141E3">
              <w:rPr>
                <w:sz w:val="28"/>
                <w:szCs w:val="28"/>
              </w:rPr>
              <w:t xml:space="preserve">. коштів обласного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E141E3" w:rsidRDefault="005875B3" w:rsidP="007456C2">
            <w:pPr>
              <w:rPr>
                <w:sz w:val="28"/>
                <w:szCs w:val="28"/>
              </w:rPr>
            </w:pPr>
            <w:r w:rsidRPr="00E141E3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  <w:lang w:val="uk-UA"/>
              </w:rPr>
              <w:t>тис</w:t>
            </w:r>
            <w:r w:rsidRPr="00E141E3">
              <w:rPr>
                <w:sz w:val="28"/>
                <w:szCs w:val="28"/>
              </w:rPr>
              <w:t>. грн.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18088D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>3</w:t>
            </w:r>
            <w:r w:rsidRPr="00C85B1B">
              <w:rPr>
                <w:sz w:val="28"/>
                <w:szCs w:val="28"/>
                <w:lang w:val="uk-UA"/>
              </w:rPr>
              <w:t xml:space="preserve">. коштів </w:t>
            </w:r>
            <w:r w:rsidR="0018088D">
              <w:rPr>
                <w:sz w:val="28"/>
                <w:szCs w:val="28"/>
                <w:lang w:val="uk-UA"/>
              </w:rPr>
              <w:t>Сумської міської ОТГ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4A0D40" w:rsidP="008E48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</w:t>
            </w:r>
            <w:r w:rsidR="00030D55">
              <w:rPr>
                <w:color w:val="000000"/>
                <w:sz w:val="28"/>
                <w:lang w:val="uk-UA"/>
              </w:rPr>
              <w:t xml:space="preserve"> </w:t>
            </w:r>
            <w:r w:rsidR="008E4842">
              <w:rPr>
                <w:color w:val="000000"/>
                <w:sz w:val="28"/>
                <w:lang w:val="uk-UA"/>
              </w:rPr>
              <w:t>58</w:t>
            </w:r>
            <w:r w:rsidR="00030D55">
              <w:rPr>
                <w:color w:val="000000"/>
                <w:sz w:val="28"/>
                <w:lang w:val="uk-UA"/>
              </w:rPr>
              <w:t>5</w:t>
            </w:r>
            <w:r w:rsidR="00944FA9">
              <w:rPr>
                <w:color w:val="000000"/>
                <w:sz w:val="28"/>
                <w:lang w:val="uk-UA"/>
              </w:rPr>
              <w:t>,</w:t>
            </w:r>
            <w:r>
              <w:rPr>
                <w:color w:val="000000"/>
                <w:sz w:val="28"/>
                <w:lang w:val="uk-UA"/>
              </w:rPr>
              <w:t>0</w:t>
            </w:r>
            <w:r w:rsidR="00944FA9">
              <w:rPr>
                <w:color w:val="000000"/>
                <w:sz w:val="28"/>
                <w:lang w:val="uk-UA"/>
              </w:rPr>
              <w:t xml:space="preserve">0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8E4842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8.4. коштів інших джерел, з них:</w:t>
            </w:r>
          </w:p>
          <w:p w:rsidR="008E4842" w:rsidRPr="008E4842" w:rsidRDefault="008E4842" w:rsidP="00432363">
            <w:pPr>
              <w:rPr>
                <w:i/>
                <w:color w:val="000000"/>
                <w:sz w:val="28"/>
                <w:lang w:val="uk-UA"/>
              </w:rPr>
            </w:pPr>
            <w:r w:rsidRPr="008E4842">
              <w:rPr>
                <w:i/>
                <w:color w:val="000000"/>
                <w:sz w:val="28"/>
                <w:lang w:val="uk-UA"/>
              </w:rPr>
              <w:t>-</w:t>
            </w:r>
            <w:r>
              <w:rPr>
                <w:i/>
                <w:color w:val="000000"/>
                <w:sz w:val="28"/>
                <w:lang w:val="uk-UA"/>
              </w:rPr>
              <w:t xml:space="preserve"> </w:t>
            </w:r>
            <w:r w:rsidR="004823EE" w:rsidRPr="008E4842">
              <w:rPr>
                <w:i/>
                <w:color w:val="000000"/>
                <w:sz w:val="28"/>
                <w:lang w:val="uk-UA"/>
              </w:rPr>
              <w:t>кошти</w:t>
            </w:r>
            <w:r w:rsidR="00432363" w:rsidRPr="008E4842">
              <w:rPr>
                <w:i/>
                <w:color w:val="000000"/>
                <w:sz w:val="28"/>
                <w:lang w:val="uk-UA"/>
              </w:rPr>
              <w:t xml:space="preserve"> інвестора</w:t>
            </w:r>
          </w:p>
          <w:p w:rsidR="005875B3" w:rsidRPr="00C85B1B" w:rsidRDefault="008E4842" w:rsidP="00432363">
            <w:pPr>
              <w:rPr>
                <w:sz w:val="28"/>
                <w:szCs w:val="28"/>
                <w:lang w:val="uk-UA"/>
              </w:rPr>
            </w:pPr>
            <w:r w:rsidRPr="008E4842">
              <w:rPr>
                <w:i/>
                <w:color w:val="000000"/>
                <w:sz w:val="28"/>
                <w:lang w:val="uk-UA"/>
              </w:rPr>
              <w:t>-</w:t>
            </w:r>
            <w:r>
              <w:rPr>
                <w:i/>
                <w:color w:val="000000"/>
                <w:sz w:val="28"/>
                <w:lang w:val="uk-UA"/>
              </w:rPr>
              <w:t xml:space="preserve"> </w:t>
            </w:r>
            <w:r w:rsidR="00030D55" w:rsidRPr="008E4842">
              <w:rPr>
                <w:i/>
                <w:color w:val="000000"/>
                <w:sz w:val="28"/>
                <w:lang w:val="uk-UA"/>
              </w:rPr>
              <w:t>кошти населення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8E4842" w:rsidP="004A0D4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36 610,5</w:t>
            </w:r>
            <w:r w:rsidR="00944FA9">
              <w:rPr>
                <w:color w:val="000000"/>
                <w:sz w:val="28"/>
                <w:lang w:val="uk-UA"/>
              </w:rPr>
              <w:t xml:space="preserve">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  <w:p w:rsidR="008E4842" w:rsidRPr="008E4842" w:rsidRDefault="008E4842" w:rsidP="004A0D4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i/>
                <w:color w:val="000000"/>
                <w:sz w:val="28"/>
                <w:lang w:val="uk-UA"/>
              </w:rPr>
            </w:pPr>
            <w:r w:rsidRPr="008E4842">
              <w:rPr>
                <w:i/>
                <w:color w:val="000000"/>
                <w:sz w:val="28"/>
                <w:lang w:val="uk-UA"/>
              </w:rPr>
              <w:t>29 182,5 тис. грн.</w:t>
            </w:r>
          </w:p>
          <w:p w:rsidR="008E4842" w:rsidRPr="00C85B1B" w:rsidRDefault="008E4842" w:rsidP="004A0D4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 w:rsidRPr="008E4842">
              <w:rPr>
                <w:i/>
                <w:color w:val="000000"/>
                <w:sz w:val="28"/>
                <w:lang w:val="uk-UA"/>
              </w:rPr>
              <w:t>7 428,0 тис. грн.</w:t>
            </w:r>
          </w:p>
        </w:tc>
      </w:tr>
    </w:tbl>
    <w:p w:rsidR="005875B3" w:rsidRPr="00C85B1B" w:rsidRDefault="005875B3" w:rsidP="005875B3">
      <w:pPr>
        <w:rPr>
          <w:sz w:val="6"/>
          <w:szCs w:val="6"/>
          <w:lang w:val="uk-UA"/>
        </w:rPr>
      </w:pPr>
      <w:r w:rsidRPr="00C85B1B">
        <w:rPr>
          <w:sz w:val="6"/>
          <w:szCs w:val="6"/>
          <w:lang w:val="uk-UA"/>
        </w:rPr>
        <w:t>ї</w:t>
      </w:r>
    </w:p>
    <w:p w:rsidR="00944FA9" w:rsidRPr="0031632B" w:rsidRDefault="00944FA9" w:rsidP="005875B3">
      <w:pPr>
        <w:jc w:val="center"/>
        <w:rPr>
          <w:b/>
          <w:sz w:val="10"/>
          <w:szCs w:val="10"/>
          <w:lang w:val="uk-UA"/>
        </w:rPr>
      </w:pPr>
    </w:p>
    <w:p w:rsidR="005875B3" w:rsidRPr="00C85B1B" w:rsidRDefault="00E641BB" w:rsidP="005875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875B3" w:rsidRPr="00C85B1B">
        <w:rPr>
          <w:b/>
          <w:sz w:val="28"/>
          <w:szCs w:val="28"/>
          <w:lang w:val="uk-UA"/>
        </w:rPr>
        <w:t>. Ресурсне забезпечення Програми</w:t>
      </w:r>
    </w:p>
    <w:p w:rsidR="005875B3" w:rsidRPr="00C85B1B" w:rsidRDefault="005875B3" w:rsidP="005875B3">
      <w:pPr>
        <w:ind w:firstLine="708"/>
        <w:jc w:val="both"/>
        <w:rPr>
          <w:sz w:val="28"/>
          <w:szCs w:val="28"/>
          <w:lang w:val="uk-UA"/>
        </w:rPr>
      </w:pPr>
      <w:r w:rsidRPr="00C85B1B">
        <w:rPr>
          <w:sz w:val="28"/>
          <w:szCs w:val="28"/>
          <w:lang w:val="uk-UA"/>
        </w:rPr>
        <w:t xml:space="preserve">Фінансування Програми здійснюється за рахунок коштів </w:t>
      </w:r>
      <w:r w:rsidR="004823EE">
        <w:rPr>
          <w:sz w:val="28"/>
          <w:szCs w:val="28"/>
          <w:lang w:val="uk-UA"/>
        </w:rPr>
        <w:t>інвестора</w:t>
      </w:r>
      <w:r w:rsidR="003C477D">
        <w:rPr>
          <w:sz w:val="28"/>
          <w:szCs w:val="28"/>
          <w:lang w:val="uk-UA"/>
        </w:rPr>
        <w:t>, коштів населення</w:t>
      </w:r>
      <w:r w:rsidR="004823EE">
        <w:rPr>
          <w:sz w:val="28"/>
          <w:szCs w:val="28"/>
          <w:lang w:val="uk-UA"/>
        </w:rPr>
        <w:t xml:space="preserve"> та коштів </w:t>
      </w:r>
      <w:r w:rsidR="00DE63C5">
        <w:rPr>
          <w:sz w:val="28"/>
          <w:szCs w:val="28"/>
          <w:lang w:val="uk-UA"/>
        </w:rPr>
        <w:t>бюджету Сумської міської об’єднаної територіальної громади</w:t>
      </w:r>
      <w:r w:rsidR="00DE63C5" w:rsidRPr="00C85B1B">
        <w:rPr>
          <w:sz w:val="28"/>
          <w:szCs w:val="28"/>
          <w:lang w:val="uk-UA"/>
        </w:rPr>
        <w:t xml:space="preserve"> </w:t>
      </w:r>
      <w:r w:rsidRPr="00C85B1B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C85B1B">
        <w:rPr>
          <w:sz w:val="28"/>
          <w:szCs w:val="28"/>
          <w:lang w:val="uk-UA"/>
        </w:rPr>
        <w:t xml:space="preserve"> до Програми).</w:t>
      </w:r>
    </w:p>
    <w:p w:rsidR="005875B3" w:rsidRPr="00DE63C5" w:rsidRDefault="005875B3" w:rsidP="005875B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85B1B">
        <w:rPr>
          <w:sz w:val="28"/>
          <w:szCs w:val="28"/>
          <w:lang w:val="uk-UA"/>
        </w:rPr>
        <w:t xml:space="preserve">Обсяг </w:t>
      </w:r>
      <w:r w:rsidRPr="00FF3241">
        <w:rPr>
          <w:sz w:val="28"/>
          <w:szCs w:val="28"/>
          <w:lang w:val="uk-UA"/>
        </w:rPr>
        <w:t>коштів, що спрямовуються на виконання цієї Програми визнача</w:t>
      </w:r>
      <w:r w:rsidR="00252254">
        <w:rPr>
          <w:sz w:val="28"/>
          <w:szCs w:val="28"/>
          <w:lang w:val="uk-UA"/>
        </w:rPr>
        <w:t>є</w:t>
      </w:r>
      <w:r w:rsidRPr="00FF3241">
        <w:rPr>
          <w:sz w:val="28"/>
          <w:szCs w:val="28"/>
          <w:lang w:val="uk-UA"/>
        </w:rPr>
        <w:t xml:space="preserve">ться </w:t>
      </w:r>
      <w:r w:rsidR="002C0E99" w:rsidRPr="00FF3241">
        <w:rPr>
          <w:sz w:val="28"/>
          <w:szCs w:val="28"/>
          <w:lang w:val="uk-UA"/>
        </w:rPr>
        <w:t xml:space="preserve">на певний бюджетний період </w:t>
      </w:r>
      <w:r w:rsidRPr="00FF3241">
        <w:rPr>
          <w:sz w:val="28"/>
          <w:szCs w:val="28"/>
          <w:lang w:val="uk-UA"/>
        </w:rPr>
        <w:t>під</w:t>
      </w:r>
      <w:r w:rsidRPr="00C85B1B">
        <w:rPr>
          <w:sz w:val="28"/>
          <w:szCs w:val="28"/>
          <w:lang w:val="uk-UA"/>
        </w:rPr>
        <w:t xml:space="preserve"> час складання про</w:t>
      </w:r>
      <w:r w:rsidR="00461C99">
        <w:rPr>
          <w:sz w:val="28"/>
          <w:szCs w:val="28"/>
          <w:lang w:val="uk-UA"/>
        </w:rPr>
        <w:t>є</w:t>
      </w:r>
      <w:r w:rsidRPr="00C85B1B">
        <w:rPr>
          <w:sz w:val="28"/>
          <w:szCs w:val="28"/>
          <w:lang w:val="uk-UA"/>
        </w:rPr>
        <w:t xml:space="preserve">кту </w:t>
      </w:r>
      <w:r w:rsidR="00DE63C5">
        <w:rPr>
          <w:sz w:val="28"/>
          <w:szCs w:val="28"/>
          <w:lang w:val="uk-UA"/>
        </w:rPr>
        <w:t>бюджету Сумської міської об’єднаної територіальної громади</w:t>
      </w:r>
      <w:r w:rsidRPr="00DE63C5">
        <w:rPr>
          <w:sz w:val="28"/>
          <w:szCs w:val="28"/>
          <w:lang w:val="uk-UA"/>
        </w:rPr>
        <w:t>.</w:t>
      </w:r>
    </w:p>
    <w:p w:rsidR="00DE63C5" w:rsidRDefault="00DE63C5" w:rsidP="00506EC9">
      <w:pPr>
        <w:jc w:val="center"/>
        <w:rPr>
          <w:b/>
          <w:sz w:val="28"/>
          <w:szCs w:val="28"/>
          <w:lang w:val="uk-UA"/>
        </w:rPr>
      </w:pPr>
    </w:p>
    <w:p w:rsidR="00506EC9" w:rsidRDefault="00E641BB" w:rsidP="00506E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6EC9">
        <w:rPr>
          <w:b/>
          <w:sz w:val="28"/>
          <w:szCs w:val="28"/>
          <w:lang w:val="uk-UA"/>
        </w:rPr>
        <w:t>. Визначення проблеми</w:t>
      </w:r>
    </w:p>
    <w:p w:rsidR="00D71726" w:rsidRDefault="00506EC9" w:rsidP="00506E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1726" w:rsidRPr="00D71726">
        <w:rPr>
          <w:sz w:val="28"/>
          <w:szCs w:val="28"/>
          <w:lang w:val="uk-UA"/>
        </w:rPr>
        <w:t>Діюча система оплати проїзду в міському пасажирському транспорті належить до першої генерації систем оплати, що базується на використанні готівкових коштів та паперових квитків, і не відповідає потребам сьогодення. Автоматизована система обліку оплати проїзду є сучасним ефективним методом оплати проїзду та обліку пасажироперевезень</w:t>
      </w:r>
      <w:r w:rsidR="00AF2EB5">
        <w:rPr>
          <w:sz w:val="28"/>
          <w:szCs w:val="28"/>
          <w:lang w:val="uk-UA"/>
        </w:rPr>
        <w:t xml:space="preserve"> в міському пасажирському </w:t>
      </w:r>
      <w:r w:rsidR="00D71726" w:rsidRPr="00D71726">
        <w:rPr>
          <w:sz w:val="28"/>
          <w:szCs w:val="28"/>
          <w:lang w:val="uk-UA"/>
        </w:rPr>
        <w:t>транспорті.</w:t>
      </w:r>
      <w:r w:rsidR="00D71726">
        <w:rPr>
          <w:sz w:val="28"/>
          <w:szCs w:val="28"/>
          <w:lang w:val="uk-UA"/>
        </w:rPr>
        <w:t xml:space="preserve"> В основу цієї системи покладен</w:t>
      </w:r>
      <w:r w:rsidR="00D71726" w:rsidRPr="00D71726">
        <w:rPr>
          <w:sz w:val="28"/>
          <w:szCs w:val="28"/>
          <w:lang w:val="uk-UA"/>
        </w:rPr>
        <w:t>о безготівковий спосіб оплати за допомогою електронного квитка.</w:t>
      </w:r>
      <w:r w:rsidR="00D71726">
        <w:rPr>
          <w:sz w:val="28"/>
          <w:szCs w:val="28"/>
          <w:lang w:val="uk-UA"/>
        </w:rPr>
        <w:t xml:space="preserve"> </w:t>
      </w:r>
      <w:r w:rsidR="00D71726" w:rsidRPr="00D71726">
        <w:rPr>
          <w:sz w:val="28"/>
          <w:szCs w:val="28"/>
          <w:lang w:val="uk-UA"/>
        </w:rPr>
        <w:t>Чи</w:t>
      </w:r>
      <w:r w:rsidR="00D71726">
        <w:rPr>
          <w:sz w:val="28"/>
          <w:szCs w:val="28"/>
          <w:lang w:val="uk-UA"/>
        </w:rPr>
        <w:t>н</w:t>
      </w:r>
      <w:r w:rsidR="00D71726" w:rsidRPr="00D71726">
        <w:rPr>
          <w:sz w:val="28"/>
          <w:szCs w:val="28"/>
          <w:lang w:val="uk-UA"/>
        </w:rPr>
        <w:t xml:space="preserve">не законодавство надає повноваження органам місцевого самоврядування впроваджувати автоматизовані системи обліку оплати проїзду в міському пасажирському транспорті незалежно від форм власності та самостійно визначати порядок їх функціонування. Завдяки е-квитку пасажирам (мешканцям та гостям міста) більше не потрібно стояти в чергах, передавати гроші за проїзд, або в годину </w:t>
      </w:r>
      <w:r w:rsidR="00AF2EB5">
        <w:rPr>
          <w:sz w:val="28"/>
          <w:szCs w:val="28"/>
          <w:lang w:val="uk-UA"/>
        </w:rPr>
        <w:lastRenderedPageBreak/>
        <w:t>«</w:t>
      </w:r>
      <w:r w:rsidR="00D71726" w:rsidRPr="00D71726">
        <w:rPr>
          <w:sz w:val="28"/>
          <w:szCs w:val="28"/>
          <w:lang w:val="uk-UA"/>
        </w:rPr>
        <w:t>пік</w:t>
      </w:r>
      <w:r w:rsidR="00AF2EB5">
        <w:rPr>
          <w:sz w:val="28"/>
          <w:szCs w:val="28"/>
          <w:lang w:val="uk-UA"/>
        </w:rPr>
        <w:t>»</w:t>
      </w:r>
      <w:r w:rsidR="00D71726" w:rsidRPr="00D71726">
        <w:rPr>
          <w:sz w:val="28"/>
          <w:szCs w:val="28"/>
          <w:lang w:val="uk-UA"/>
        </w:rPr>
        <w:t xml:space="preserve"> згадувати – в якій кишені знаходяться проїзні квитки. Технологію е-квитка успішно використовують </w:t>
      </w:r>
      <w:r w:rsidR="00AF2EB5">
        <w:rPr>
          <w:sz w:val="28"/>
          <w:szCs w:val="28"/>
          <w:lang w:val="uk-UA"/>
        </w:rPr>
        <w:t>«</w:t>
      </w:r>
      <w:r w:rsidR="00D71726" w:rsidRPr="00D71726">
        <w:rPr>
          <w:sz w:val="28"/>
          <w:szCs w:val="28"/>
          <w:lang w:val="uk-UA"/>
        </w:rPr>
        <w:t>smart</w:t>
      </w:r>
      <w:r w:rsidR="00AF2EB5">
        <w:rPr>
          <w:sz w:val="28"/>
          <w:szCs w:val="28"/>
          <w:lang w:val="uk-UA"/>
        </w:rPr>
        <w:t xml:space="preserve">» міста Європи та почали впроваджувати ряд міст України (Київ, Тернопіль, Чернігів, Івано-Франківськ, Біла Церква та ін.). </w:t>
      </w:r>
      <w:r w:rsidR="00D71726" w:rsidRPr="00D71726">
        <w:rPr>
          <w:sz w:val="28"/>
          <w:szCs w:val="28"/>
          <w:lang w:val="uk-UA"/>
        </w:rPr>
        <w:t>Відтак Суми цілком слушно долучається до нових можливостей розвитку транспортної системи. Люди з правом пільгового проїзду користуватимуться транспортом безкоштовно. Отримати е-квиток вони матимуть можливість безкоштовно.</w:t>
      </w:r>
      <w:r w:rsidR="008E4842">
        <w:rPr>
          <w:sz w:val="28"/>
          <w:szCs w:val="28"/>
          <w:lang w:val="uk-UA"/>
        </w:rPr>
        <w:t xml:space="preserve"> </w:t>
      </w:r>
    </w:p>
    <w:p w:rsidR="00506EC9" w:rsidRDefault="008E4842" w:rsidP="00506EC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із Законом України «Про місцеве самоврядування в Україні» виконавчі органи місцевих рад визначають форми та види електронних носіїв, що застосовуватимуться при впровадженні АСООП. На сьогодні технологічні можливості дозволяють здійснювати транзакції при оплаті проїзду у міському пасажирському транспорті за допомогою безконтактних транспортних карток (персоніфікованих та неперсоніфікованих), за допомогою смартфона шляхом зчитування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  <w:lang w:val="uk-UA"/>
        </w:rPr>
        <w:t xml:space="preserve">-коду, </w:t>
      </w:r>
      <w:r w:rsidR="009261A0">
        <w:rPr>
          <w:sz w:val="28"/>
          <w:szCs w:val="28"/>
          <w:lang w:val="uk-UA"/>
        </w:rPr>
        <w:t>за допомогою браслетів із вмонтованим у нього чіпом, за допомогою банківських карток тощо.</w:t>
      </w:r>
      <w:r w:rsidR="00FC69C1">
        <w:rPr>
          <w:color w:val="000000"/>
          <w:sz w:val="28"/>
          <w:szCs w:val="28"/>
          <w:lang w:val="uk-UA"/>
        </w:rPr>
        <w:tab/>
        <w:t xml:space="preserve">Впровадження АСООП спрямоване на усунення наступних </w:t>
      </w:r>
      <w:r w:rsidR="00506EC9">
        <w:rPr>
          <w:color w:val="000000"/>
          <w:sz w:val="28"/>
          <w:szCs w:val="28"/>
          <w:lang w:val="uk-UA"/>
        </w:rPr>
        <w:t>недолік</w:t>
      </w:r>
      <w:r w:rsidR="00FC69C1">
        <w:rPr>
          <w:color w:val="000000"/>
          <w:sz w:val="28"/>
          <w:szCs w:val="28"/>
          <w:lang w:val="uk-UA"/>
        </w:rPr>
        <w:t xml:space="preserve">ів діючої </w:t>
      </w:r>
      <w:r w:rsidR="00506EC9">
        <w:rPr>
          <w:color w:val="000000"/>
          <w:sz w:val="28"/>
          <w:szCs w:val="28"/>
          <w:lang w:val="uk-UA"/>
        </w:rPr>
        <w:t>с</w:t>
      </w:r>
      <w:r w:rsidR="00506EC9" w:rsidRPr="00506EC9">
        <w:rPr>
          <w:color w:val="000000"/>
          <w:sz w:val="28"/>
          <w:szCs w:val="28"/>
          <w:lang w:val="uk-UA"/>
        </w:rPr>
        <w:t>истем</w:t>
      </w:r>
      <w:r w:rsidR="001C3B49">
        <w:rPr>
          <w:color w:val="000000"/>
          <w:sz w:val="28"/>
          <w:szCs w:val="28"/>
          <w:lang w:val="uk-UA"/>
        </w:rPr>
        <w:t>и</w:t>
      </w:r>
      <w:r w:rsidR="00506EC9" w:rsidRPr="00506EC9">
        <w:rPr>
          <w:color w:val="000000"/>
          <w:sz w:val="28"/>
          <w:szCs w:val="28"/>
          <w:lang w:val="uk-UA"/>
        </w:rPr>
        <w:t xml:space="preserve"> </w:t>
      </w:r>
      <w:r w:rsidR="00506EC9">
        <w:rPr>
          <w:color w:val="000000"/>
          <w:sz w:val="28"/>
          <w:szCs w:val="28"/>
          <w:lang w:val="uk-UA"/>
        </w:rPr>
        <w:t xml:space="preserve">оплати проїзду </w:t>
      </w:r>
      <w:r w:rsidR="00FC69C1">
        <w:rPr>
          <w:color w:val="000000"/>
          <w:sz w:val="28"/>
          <w:szCs w:val="28"/>
          <w:lang w:val="uk-UA"/>
        </w:rPr>
        <w:t>в міському пасажирському транспорті</w:t>
      </w:r>
      <w:r w:rsidR="00506EC9">
        <w:rPr>
          <w:color w:val="000000"/>
          <w:sz w:val="28"/>
          <w:szCs w:val="28"/>
          <w:lang w:val="uk-UA"/>
        </w:rPr>
        <w:t xml:space="preserve">: </w:t>
      </w:r>
    </w:p>
    <w:p w:rsidR="0065697F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269FC">
        <w:rPr>
          <w:color w:val="000000"/>
          <w:sz w:val="28"/>
          <w:szCs w:val="28"/>
          <w:lang w:val="uk-UA"/>
        </w:rPr>
        <w:t>неможливість отримання детальних статистичних даних про пасажиропотоки для формування оптимальн</w:t>
      </w:r>
      <w:r>
        <w:rPr>
          <w:color w:val="000000"/>
          <w:sz w:val="28"/>
          <w:szCs w:val="28"/>
          <w:lang w:val="uk-UA"/>
        </w:rPr>
        <w:t>их</w:t>
      </w:r>
      <w:r w:rsidRPr="00B269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розкладів</w:t>
      </w:r>
      <w:r w:rsidRPr="00B269FC">
        <w:rPr>
          <w:color w:val="000000"/>
          <w:sz w:val="28"/>
          <w:szCs w:val="28"/>
          <w:lang w:val="uk-UA"/>
        </w:rPr>
        <w:t xml:space="preserve"> руху, маршрутів </w:t>
      </w:r>
      <w:r>
        <w:rPr>
          <w:color w:val="000000"/>
          <w:sz w:val="28"/>
          <w:szCs w:val="28"/>
          <w:lang w:val="uk-UA"/>
        </w:rPr>
        <w:t xml:space="preserve"> руху, формування економічно-обґрунтованих розрахунків тарифів на транспортні послуги </w:t>
      </w:r>
      <w:r w:rsidRPr="00B269FC">
        <w:rPr>
          <w:color w:val="000000"/>
          <w:sz w:val="28"/>
          <w:szCs w:val="28"/>
          <w:lang w:val="uk-UA"/>
        </w:rPr>
        <w:t>тощо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65697F" w:rsidRPr="00506EC9" w:rsidRDefault="0065697F" w:rsidP="0065697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Pr="00B269FC">
        <w:rPr>
          <w:color w:val="000000"/>
          <w:sz w:val="28"/>
          <w:szCs w:val="28"/>
          <w:lang w:val="uk-UA"/>
        </w:rPr>
        <w:t>неможливість точного обліку транспортних послуг, що надаються пільговим категоріям пасажирів</w:t>
      </w:r>
      <w:r>
        <w:rPr>
          <w:color w:val="000000"/>
          <w:sz w:val="28"/>
          <w:szCs w:val="28"/>
          <w:lang w:val="uk-UA"/>
        </w:rPr>
        <w:t>.</w:t>
      </w:r>
      <w:r w:rsidRPr="006569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Наразі</w:t>
      </w:r>
      <w:r w:rsidRPr="00506EC9">
        <w:rPr>
          <w:color w:val="000000"/>
          <w:sz w:val="28"/>
          <w:szCs w:val="28"/>
          <w:lang w:val="uk-UA"/>
        </w:rPr>
        <w:t xml:space="preserve"> єдиним критерієм, що дозволяє департаменту соціального захисту населення </w:t>
      </w:r>
      <w:r>
        <w:rPr>
          <w:color w:val="000000"/>
          <w:sz w:val="28"/>
          <w:szCs w:val="28"/>
          <w:lang w:val="uk-UA"/>
        </w:rPr>
        <w:t xml:space="preserve">Сумської </w:t>
      </w:r>
      <w:r w:rsidRPr="00506EC9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здійснювати відшкодування витрат комунальному перевізникові</w:t>
      </w:r>
      <w:r w:rsidRPr="00506E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r w:rsidRPr="00506EC9">
        <w:rPr>
          <w:color w:val="000000"/>
          <w:sz w:val="28"/>
          <w:szCs w:val="28"/>
          <w:lang w:val="uk-UA"/>
        </w:rPr>
        <w:t xml:space="preserve"> перевезення пільгової категорії </w:t>
      </w:r>
      <w:r>
        <w:rPr>
          <w:color w:val="000000"/>
          <w:sz w:val="28"/>
          <w:szCs w:val="28"/>
          <w:lang w:val="uk-UA"/>
        </w:rPr>
        <w:t>пасажирів</w:t>
      </w:r>
      <w:r w:rsidRPr="00506EC9">
        <w:rPr>
          <w:color w:val="000000"/>
          <w:sz w:val="28"/>
          <w:szCs w:val="28"/>
          <w:lang w:val="uk-UA"/>
        </w:rPr>
        <w:t xml:space="preserve"> є затверджені коефіцієнти співвідношення кількості безплатно п</w:t>
      </w:r>
      <w:r>
        <w:rPr>
          <w:color w:val="000000"/>
          <w:sz w:val="28"/>
          <w:szCs w:val="28"/>
          <w:lang w:val="uk-UA"/>
        </w:rPr>
        <w:t>еревезених пасажирів до платних;</w:t>
      </w:r>
    </w:p>
    <w:p w:rsidR="0065697F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значні </w:t>
      </w:r>
      <w:r w:rsidRPr="004669CE">
        <w:rPr>
          <w:color w:val="000000"/>
          <w:sz w:val="28"/>
          <w:szCs w:val="28"/>
          <w:lang w:val="uk-UA"/>
        </w:rPr>
        <w:t>експлуатаційн</w:t>
      </w:r>
      <w:r>
        <w:rPr>
          <w:color w:val="000000"/>
          <w:sz w:val="28"/>
          <w:szCs w:val="28"/>
          <w:lang w:val="uk-UA"/>
        </w:rPr>
        <w:t>і</w:t>
      </w:r>
      <w:r w:rsidRPr="004669CE">
        <w:rPr>
          <w:color w:val="000000"/>
          <w:sz w:val="28"/>
          <w:szCs w:val="28"/>
          <w:lang w:val="uk-UA"/>
        </w:rPr>
        <w:t xml:space="preserve"> витрат</w:t>
      </w:r>
      <w:r>
        <w:rPr>
          <w:color w:val="000000"/>
          <w:sz w:val="28"/>
          <w:szCs w:val="28"/>
          <w:lang w:val="uk-UA"/>
        </w:rPr>
        <w:t>и</w:t>
      </w:r>
      <w:r w:rsidRPr="004669CE">
        <w:rPr>
          <w:color w:val="000000"/>
          <w:sz w:val="28"/>
          <w:szCs w:val="28"/>
          <w:lang w:val="uk-UA"/>
        </w:rPr>
        <w:t xml:space="preserve"> на організацію та контроль збору виручки</w:t>
      </w:r>
      <w:r w:rsidR="00232546" w:rsidRPr="00232546">
        <w:rPr>
          <w:rFonts w:ascii="Arial" w:hAnsi="Arial" w:cs="Arial"/>
          <w:color w:val="2A2928"/>
          <w:shd w:val="clear" w:color="auto" w:fill="FFFFFF"/>
        </w:rPr>
        <w:t xml:space="preserve"> </w:t>
      </w:r>
      <w:r w:rsidR="00232546" w:rsidRPr="002325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(за офіційними даними </w:t>
      </w:r>
      <w:r w:rsidR="002325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Україні </w:t>
      </w:r>
      <w:r w:rsidR="00232546" w:rsidRPr="00232546">
        <w:rPr>
          <w:color w:val="000000" w:themeColor="text1"/>
          <w:sz w:val="28"/>
          <w:szCs w:val="28"/>
          <w:lang w:val="uk-UA"/>
        </w:rPr>
        <w:t>на організацію збору плати за проїзд та реалізацію контролю підприємства вит</w:t>
      </w:r>
      <w:r w:rsidR="00232546">
        <w:rPr>
          <w:color w:val="000000" w:themeColor="text1"/>
          <w:sz w:val="28"/>
          <w:szCs w:val="28"/>
          <w:lang w:val="uk-UA"/>
        </w:rPr>
        <w:t>рачають близько 25 % від доходу)</w:t>
      </w:r>
      <w:r w:rsidRPr="00232546">
        <w:rPr>
          <w:color w:val="000000" w:themeColor="text1"/>
          <w:sz w:val="28"/>
          <w:szCs w:val="28"/>
          <w:lang w:val="uk-UA"/>
        </w:rPr>
        <w:t>;</w:t>
      </w:r>
    </w:p>
    <w:p w:rsidR="000D2345" w:rsidRPr="00232546" w:rsidRDefault="000D2345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0D2345">
        <w:rPr>
          <w:color w:val="000000" w:themeColor="text1"/>
          <w:sz w:val="28"/>
          <w:szCs w:val="28"/>
          <w:lang w:val="uk-UA"/>
        </w:rPr>
        <w:t>незручність для пасажирів, зокрема, у зв'язку з використання різних видів проїзних квитків у різних перевізників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65697F" w:rsidRPr="00FF3241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>- неможливість реалізації гнучкої тарифної політики</w:t>
      </w:r>
      <w:r w:rsidR="00232546" w:rsidRPr="00232546">
        <w:rPr>
          <w:rFonts w:ascii="Arial" w:hAnsi="Arial" w:cs="Arial"/>
          <w:color w:val="2A2928"/>
          <w:shd w:val="clear" w:color="auto" w:fill="FFFFFF"/>
          <w:lang w:val="uk-UA"/>
        </w:rPr>
        <w:t xml:space="preserve"> </w:t>
      </w:r>
      <w:r w:rsidR="00232546" w:rsidRPr="00232546">
        <w:rPr>
          <w:color w:val="000000"/>
          <w:sz w:val="28"/>
          <w:szCs w:val="28"/>
          <w:lang w:val="uk-UA"/>
        </w:rPr>
        <w:t>через брак автоматизованих пристроїв перевірки квитків;</w:t>
      </w:r>
    </w:p>
    <w:p w:rsidR="0065697F" w:rsidRPr="00FF3241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 xml:space="preserve">- </w:t>
      </w:r>
      <w:r w:rsidR="00091AE6" w:rsidRPr="00FF3241">
        <w:rPr>
          <w:color w:val="000000"/>
          <w:sz w:val="28"/>
          <w:szCs w:val="28"/>
          <w:lang w:val="uk-UA"/>
        </w:rPr>
        <w:t>зловживання з боку</w:t>
      </w:r>
      <w:r w:rsidR="009222F1" w:rsidRPr="00FF3241">
        <w:rPr>
          <w:color w:val="000000"/>
          <w:sz w:val="28"/>
          <w:szCs w:val="28"/>
          <w:lang w:val="uk-UA"/>
        </w:rPr>
        <w:t xml:space="preserve"> перевізника під час оплати за проїзд готівкою</w:t>
      </w:r>
      <w:r w:rsidRPr="00FF3241">
        <w:rPr>
          <w:color w:val="000000"/>
          <w:sz w:val="28"/>
          <w:szCs w:val="28"/>
          <w:lang w:val="uk-UA"/>
        </w:rPr>
        <w:t>.</w:t>
      </w:r>
    </w:p>
    <w:p w:rsidR="00FA334C" w:rsidRPr="00FF3241" w:rsidRDefault="009222F1" w:rsidP="00506EC9">
      <w:pPr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ab/>
        <w:t>Таким чином,</w:t>
      </w:r>
      <w:r w:rsidR="00ED6385" w:rsidRPr="00FF3241">
        <w:rPr>
          <w:color w:val="000000"/>
          <w:sz w:val="28"/>
          <w:szCs w:val="28"/>
          <w:lang w:val="uk-UA"/>
        </w:rPr>
        <w:t xml:space="preserve"> </w:t>
      </w:r>
      <w:r w:rsidR="00FA334C" w:rsidRPr="00FF3241">
        <w:rPr>
          <w:color w:val="000000"/>
          <w:sz w:val="28"/>
          <w:szCs w:val="28"/>
          <w:lang w:val="uk-UA"/>
        </w:rPr>
        <w:t xml:space="preserve">Програма спрямована на розв’язання </w:t>
      </w:r>
      <w:r w:rsidRPr="00FF3241">
        <w:rPr>
          <w:color w:val="000000"/>
          <w:sz w:val="28"/>
          <w:szCs w:val="28"/>
          <w:lang w:val="uk-UA"/>
        </w:rPr>
        <w:t>зазначених вище проблем.</w:t>
      </w:r>
    </w:p>
    <w:p w:rsidR="004203A8" w:rsidRDefault="004203A8" w:rsidP="005875B3">
      <w:pPr>
        <w:jc w:val="center"/>
        <w:rPr>
          <w:b/>
          <w:sz w:val="28"/>
          <w:szCs w:val="28"/>
          <w:lang w:val="uk-UA"/>
        </w:rPr>
      </w:pPr>
    </w:p>
    <w:p w:rsidR="005875B3" w:rsidRPr="00FF3241" w:rsidRDefault="00E641BB" w:rsidP="005875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875B3" w:rsidRPr="00FF3241">
        <w:rPr>
          <w:b/>
          <w:sz w:val="28"/>
          <w:szCs w:val="28"/>
          <w:lang w:val="uk-UA"/>
        </w:rPr>
        <w:t>. Мета Програми</w:t>
      </w:r>
    </w:p>
    <w:p w:rsidR="005875B3" w:rsidRDefault="005875B3" w:rsidP="005875B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>Метою Програми є:</w:t>
      </w:r>
    </w:p>
    <w:p w:rsidR="006B6ECA" w:rsidRPr="006B6ECA" w:rsidRDefault="00710358" w:rsidP="005875B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впровадження єдиної с</w:t>
      </w:r>
      <w:r w:rsidR="006B6ECA">
        <w:rPr>
          <w:color w:val="000000"/>
          <w:sz w:val="28"/>
          <w:szCs w:val="28"/>
          <w:lang w:val="uk-UA"/>
        </w:rPr>
        <w:t>п</w:t>
      </w:r>
      <w:r w:rsidR="006B6ECA" w:rsidRPr="006B6ECA">
        <w:rPr>
          <w:color w:val="000000"/>
          <w:sz w:val="28"/>
          <w:szCs w:val="28"/>
          <w:lang w:val="uk-UA"/>
        </w:rPr>
        <w:t>рощен</w:t>
      </w:r>
      <w:r>
        <w:rPr>
          <w:color w:val="000000"/>
          <w:sz w:val="28"/>
          <w:szCs w:val="28"/>
          <w:lang w:val="uk-UA"/>
        </w:rPr>
        <w:t>ої</w:t>
      </w:r>
      <w:r w:rsidR="006B6ECA" w:rsidRPr="006B6ECA">
        <w:rPr>
          <w:color w:val="000000"/>
          <w:sz w:val="28"/>
          <w:szCs w:val="28"/>
          <w:lang w:val="uk-UA"/>
        </w:rPr>
        <w:t xml:space="preserve"> та прозор</w:t>
      </w:r>
      <w:r>
        <w:rPr>
          <w:color w:val="000000"/>
          <w:sz w:val="28"/>
          <w:szCs w:val="28"/>
          <w:lang w:val="uk-UA"/>
        </w:rPr>
        <w:t>ої</w:t>
      </w:r>
      <w:r w:rsidR="006B6ECA" w:rsidRPr="006B6E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системи </w:t>
      </w:r>
      <w:r w:rsidR="006B6ECA" w:rsidRPr="006B6ECA">
        <w:rPr>
          <w:color w:val="000000"/>
          <w:sz w:val="28"/>
          <w:szCs w:val="28"/>
          <w:lang w:val="uk-UA"/>
        </w:rPr>
        <w:t>оплат</w:t>
      </w:r>
      <w:r>
        <w:rPr>
          <w:color w:val="000000"/>
          <w:sz w:val="28"/>
          <w:szCs w:val="28"/>
          <w:lang w:val="uk-UA"/>
        </w:rPr>
        <w:t>и</w:t>
      </w:r>
      <w:r w:rsidR="006B6ECA" w:rsidRPr="006B6ECA">
        <w:rPr>
          <w:color w:val="000000"/>
          <w:sz w:val="28"/>
          <w:szCs w:val="28"/>
          <w:lang w:val="uk-UA"/>
        </w:rPr>
        <w:t xml:space="preserve"> за проїзд</w:t>
      </w:r>
      <w:r w:rsidRPr="007103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Pr="006B6ECA">
        <w:rPr>
          <w:color w:val="000000"/>
          <w:sz w:val="28"/>
          <w:szCs w:val="28"/>
          <w:lang w:val="uk-UA"/>
        </w:rPr>
        <w:t xml:space="preserve">точний облік пасажироперевезень </w:t>
      </w:r>
      <w:r w:rsidRPr="00FF3241">
        <w:rPr>
          <w:color w:val="000000"/>
          <w:sz w:val="28"/>
          <w:szCs w:val="28"/>
          <w:lang w:val="uk-UA"/>
        </w:rPr>
        <w:t xml:space="preserve">на всіх видах міського пасажирського транспорту </w:t>
      </w:r>
      <w:r>
        <w:rPr>
          <w:color w:val="000000"/>
          <w:sz w:val="28"/>
          <w:szCs w:val="28"/>
          <w:lang w:val="uk-UA"/>
        </w:rPr>
        <w:t>Сумської міської ОТГ.</w:t>
      </w:r>
    </w:p>
    <w:p w:rsidR="005875B3" w:rsidRPr="00FF3241" w:rsidRDefault="005875B3" w:rsidP="005875B3">
      <w:pPr>
        <w:jc w:val="both"/>
        <w:rPr>
          <w:b/>
          <w:color w:val="000000"/>
          <w:sz w:val="10"/>
          <w:szCs w:val="10"/>
          <w:lang w:val="uk-UA"/>
        </w:rPr>
      </w:pPr>
    </w:p>
    <w:p w:rsidR="005875B3" w:rsidRPr="00FF3241" w:rsidRDefault="005875B3" w:rsidP="00710358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lastRenderedPageBreak/>
        <w:t>4. Напрями діяльності (підпрограми) та завдання Програми</w:t>
      </w:r>
    </w:p>
    <w:p w:rsidR="005875B3" w:rsidRPr="00FF3241" w:rsidRDefault="005875B3" w:rsidP="005875B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Напрями діяльності, завдання та заходи Програми наведено в додатку 3 до Програми.</w:t>
      </w:r>
    </w:p>
    <w:p w:rsidR="004203A8" w:rsidRDefault="004203A8" w:rsidP="005875B3">
      <w:pPr>
        <w:jc w:val="center"/>
        <w:rPr>
          <w:b/>
          <w:sz w:val="10"/>
          <w:szCs w:val="10"/>
          <w:lang w:val="uk-UA"/>
        </w:rPr>
      </w:pPr>
    </w:p>
    <w:p w:rsidR="004203A8" w:rsidRPr="00FF3241" w:rsidRDefault="004203A8" w:rsidP="005875B3">
      <w:pPr>
        <w:jc w:val="center"/>
        <w:rPr>
          <w:b/>
          <w:sz w:val="10"/>
          <w:szCs w:val="10"/>
          <w:lang w:val="uk-UA"/>
        </w:rPr>
      </w:pPr>
    </w:p>
    <w:p w:rsidR="005875B3" w:rsidRPr="00FF3241" w:rsidRDefault="00E641BB" w:rsidP="005875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875B3" w:rsidRPr="00FF3241">
        <w:rPr>
          <w:b/>
          <w:sz w:val="28"/>
          <w:szCs w:val="28"/>
          <w:lang w:val="uk-UA"/>
        </w:rPr>
        <w:t>. Завдання Програми</w:t>
      </w:r>
    </w:p>
    <w:p w:rsidR="005875B3" w:rsidRPr="00FF3241" w:rsidRDefault="005875B3" w:rsidP="005875B3">
      <w:pPr>
        <w:tabs>
          <w:tab w:val="num" w:pos="720"/>
          <w:tab w:val="left" w:pos="1620"/>
          <w:tab w:val="num" w:pos="1680"/>
          <w:tab w:val="left" w:pos="1800"/>
        </w:tabs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ab/>
        <w:t xml:space="preserve">Завдання Програми спрямовані на досягнення мети Програми (додаток 4 до Програми). </w:t>
      </w:r>
    </w:p>
    <w:p w:rsidR="009E4EFA" w:rsidRDefault="005875B3" w:rsidP="009E4EFA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6"/>
          <w:szCs w:val="6"/>
          <w:lang w:val="uk-UA"/>
        </w:rPr>
        <w:t>3</w:t>
      </w:r>
    </w:p>
    <w:p w:rsidR="000B291E" w:rsidRDefault="000B291E" w:rsidP="005875B3">
      <w:pPr>
        <w:ind w:left="360"/>
        <w:jc w:val="center"/>
        <w:rPr>
          <w:b/>
          <w:sz w:val="28"/>
          <w:szCs w:val="28"/>
          <w:lang w:val="uk-UA"/>
        </w:rPr>
      </w:pPr>
    </w:p>
    <w:p w:rsidR="005875B3" w:rsidRPr="00FF3241" w:rsidRDefault="00E641BB" w:rsidP="005875B3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875B3" w:rsidRPr="00FF3241">
        <w:rPr>
          <w:b/>
          <w:sz w:val="28"/>
          <w:szCs w:val="28"/>
          <w:lang w:val="uk-UA"/>
        </w:rPr>
        <w:t>. Критерії оцінки ефективності виконання заходів програми (результативні показники)</w:t>
      </w:r>
    </w:p>
    <w:p w:rsidR="005875B3" w:rsidRPr="00FF3241" w:rsidRDefault="005875B3" w:rsidP="005875B3">
      <w:pPr>
        <w:ind w:firstLine="36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Результативні показники викладені у додатку 5 до Програми.</w:t>
      </w:r>
    </w:p>
    <w:p w:rsidR="005875B3" w:rsidRPr="00FF3241" w:rsidRDefault="005875B3" w:rsidP="005875B3">
      <w:pPr>
        <w:ind w:firstLine="360"/>
        <w:jc w:val="both"/>
        <w:rPr>
          <w:sz w:val="10"/>
          <w:szCs w:val="10"/>
          <w:lang w:val="uk-UA"/>
        </w:rPr>
      </w:pPr>
    </w:p>
    <w:p w:rsidR="005875B3" w:rsidRPr="00FF3241" w:rsidRDefault="005875B3" w:rsidP="005875B3">
      <w:pPr>
        <w:jc w:val="center"/>
        <w:rPr>
          <w:b/>
          <w:sz w:val="6"/>
          <w:szCs w:val="6"/>
          <w:lang w:val="uk-UA"/>
        </w:rPr>
      </w:pPr>
    </w:p>
    <w:p w:rsidR="005875B3" w:rsidRPr="00FF3241" w:rsidRDefault="00E641BB" w:rsidP="005875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5875B3" w:rsidRPr="00FF3241">
        <w:rPr>
          <w:b/>
          <w:sz w:val="28"/>
          <w:szCs w:val="28"/>
          <w:lang w:val="uk-UA"/>
        </w:rPr>
        <w:t>. Очікувані результати</w:t>
      </w:r>
    </w:p>
    <w:p w:rsidR="005875B3" w:rsidRPr="00FF3241" w:rsidRDefault="005875B3" w:rsidP="005875B3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Очікуван</w:t>
      </w:r>
      <w:r w:rsidR="00D46913" w:rsidRPr="00FF3241">
        <w:rPr>
          <w:sz w:val="28"/>
          <w:szCs w:val="28"/>
          <w:lang w:val="uk-UA"/>
        </w:rPr>
        <w:t xml:space="preserve">ими </w:t>
      </w:r>
      <w:r w:rsidRPr="00FF3241">
        <w:rPr>
          <w:sz w:val="28"/>
          <w:szCs w:val="28"/>
          <w:lang w:val="uk-UA"/>
        </w:rPr>
        <w:t>результа</w:t>
      </w:r>
      <w:r w:rsidR="00D46913" w:rsidRPr="00FF3241">
        <w:rPr>
          <w:sz w:val="28"/>
          <w:szCs w:val="28"/>
          <w:lang w:val="uk-UA"/>
        </w:rPr>
        <w:t>там</w:t>
      </w:r>
      <w:r w:rsidRPr="00FF3241">
        <w:rPr>
          <w:sz w:val="28"/>
          <w:szCs w:val="28"/>
          <w:lang w:val="uk-UA"/>
        </w:rPr>
        <w:t xml:space="preserve">и від </w:t>
      </w:r>
      <w:r w:rsidR="00D46913" w:rsidRPr="00FF3241">
        <w:rPr>
          <w:sz w:val="28"/>
          <w:szCs w:val="28"/>
          <w:lang w:val="uk-UA"/>
        </w:rPr>
        <w:t>виконання</w:t>
      </w:r>
      <w:r w:rsidRPr="00FF3241">
        <w:rPr>
          <w:sz w:val="28"/>
          <w:szCs w:val="28"/>
          <w:lang w:val="uk-UA"/>
        </w:rPr>
        <w:t xml:space="preserve"> Програми </w:t>
      </w:r>
      <w:r w:rsidR="00D46913" w:rsidRPr="00FF3241">
        <w:rPr>
          <w:sz w:val="28"/>
          <w:szCs w:val="28"/>
          <w:lang w:val="uk-UA"/>
        </w:rPr>
        <w:t>є: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1.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підвищення прозорості та точності обліку фактично наданих послуг з перевезення пасажирів, в тому числі і пільгових категорій;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2.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наявність достовірної  інформації про виконану транспортну роботу для вирішення задач аналізу і планування пасажирських перевезень, формування тарифів на транспортні послуги;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3.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підвищення економічних показників роботи перевізника;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4.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зручність у користуванні пасажирами транспортними послугами;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5.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запровадження гнучкої тарифної політики оплати проїзду;</w:t>
      </w:r>
    </w:p>
    <w:p w:rsidR="00710358" w:rsidRPr="00710358" w:rsidRDefault="00710358" w:rsidP="00710358">
      <w:pPr>
        <w:ind w:firstLine="360"/>
        <w:jc w:val="both"/>
        <w:rPr>
          <w:sz w:val="28"/>
          <w:szCs w:val="28"/>
          <w:lang w:val="uk-UA"/>
        </w:rPr>
      </w:pPr>
      <w:r w:rsidRPr="00710358">
        <w:rPr>
          <w:sz w:val="28"/>
          <w:szCs w:val="28"/>
          <w:lang w:val="uk-UA"/>
        </w:rPr>
        <w:t>6.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 xml:space="preserve">оптимізації маршрутної мережі міста на основі аналізу пасажиропотоку; </w:t>
      </w:r>
    </w:p>
    <w:p w:rsidR="0066147B" w:rsidRPr="00630D84" w:rsidRDefault="00710358" w:rsidP="00710358">
      <w:pPr>
        <w:ind w:firstLine="360"/>
        <w:jc w:val="both"/>
        <w:rPr>
          <w:sz w:val="10"/>
          <w:szCs w:val="10"/>
          <w:lang w:val="uk-UA"/>
        </w:rPr>
      </w:pPr>
      <w:r w:rsidRPr="00710358">
        <w:rPr>
          <w:sz w:val="28"/>
          <w:szCs w:val="28"/>
          <w:lang w:val="uk-UA"/>
        </w:rPr>
        <w:t>7.</w:t>
      </w:r>
      <w:r w:rsidR="00A31687">
        <w:rPr>
          <w:sz w:val="28"/>
          <w:szCs w:val="28"/>
          <w:lang w:val="uk-UA"/>
        </w:rPr>
        <w:t xml:space="preserve"> </w:t>
      </w:r>
      <w:r w:rsidRPr="00710358">
        <w:rPr>
          <w:sz w:val="28"/>
          <w:szCs w:val="28"/>
          <w:lang w:val="uk-UA"/>
        </w:rPr>
        <w:t>поступове виведення з обігу готівки при оплаті проїзду.</w:t>
      </w:r>
    </w:p>
    <w:p w:rsidR="00B34D1C" w:rsidRPr="00B34D1C" w:rsidRDefault="00B34D1C" w:rsidP="008B67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Примірні в</w:t>
      </w:r>
      <w:r w:rsidRPr="00B34D1C">
        <w:rPr>
          <w:sz w:val="28"/>
          <w:szCs w:val="28"/>
          <w:lang w:val="uk-UA"/>
        </w:rPr>
        <w:t xml:space="preserve">игоди та витрати відображені </w:t>
      </w:r>
      <w:r>
        <w:rPr>
          <w:sz w:val="28"/>
          <w:szCs w:val="28"/>
          <w:lang w:val="uk-UA"/>
        </w:rPr>
        <w:t>в таблиці, що наведена нижче.</w:t>
      </w:r>
    </w:p>
    <w:p w:rsidR="00EB5F5A" w:rsidRDefault="00EB5F5A" w:rsidP="00B34D1C">
      <w:pPr>
        <w:ind w:firstLine="540"/>
        <w:jc w:val="center"/>
        <w:rPr>
          <w:b/>
          <w:sz w:val="28"/>
          <w:szCs w:val="28"/>
          <w:lang w:val="uk-UA"/>
        </w:rPr>
      </w:pPr>
    </w:p>
    <w:p w:rsidR="00B34D1C" w:rsidRPr="00B34D1C" w:rsidRDefault="00B34D1C" w:rsidP="00B34D1C">
      <w:pPr>
        <w:ind w:firstLine="540"/>
        <w:jc w:val="center"/>
        <w:rPr>
          <w:b/>
          <w:sz w:val="28"/>
          <w:szCs w:val="28"/>
          <w:lang w:val="uk-UA"/>
        </w:rPr>
      </w:pPr>
      <w:r w:rsidRPr="00B34D1C">
        <w:rPr>
          <w:b/>
          <w:sz w:val="28"/>
          <w:szCs w:val="28"/>
          <w:lang w:val="uk-UA"/>
        </w:rPr>
        <w:t>Вигоди та витрати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748"/>
      </w:tblGrid>
      <w:tr w:rsidR="00B34D1C" w:rsidRPr="00B34D1C" w:rsidTr="00B34D1C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8B6794" w:rsidRPr="00B34D1C" w:rsidTr="00124C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4" w:rsidRPr="00B34D1C" w:rsidRDefault="008B6794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Сфера інтересів місцевої влади</w:t>
            </w:r>
          </w:p>
        </w:tc>
      </w:tr>
      <w:tr w:rsidR="008B6794" w:rsidRPr="00F4652B" w:rsidTr="00C77F75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5" w:rsidRPr="007C3AC6" w:rsidRDefault="008B6794" w:rsidP="007D13DB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Налагоджена система </w:t>
            </w:r>
            <w:r w:rsidR="00091AE6" w:rsidRPr="007C3AC6">
              <w:rPr>
                <w:sz w:val="26"/>
                <w:szCs w:val="26"/>
                <w:lang w:val="uk-UA"/>
              </w:rPr>
              <w:t xml:space="preserve">обліку перевезених пасажирів та оплати проїзду </w:t>
            </w:r>
            <w:r w:rsidR="00630D84" w:rsidRPr="007C3AC6">
              <w:rPr>
                <w:sz w:val="26"/>
                <w:szCs w:val="26"/>
                <w:lang w:val="uk-UA"/>
              </w:rPr>
              <w:t xml:space="preserve">у сфері </w:t>
            </w:r>
            <w:r w:rsidRPr="007C3AC6">
              <w:rPr>
                <w:sz w:val="26"/>
                <w:szCs w:val="26"/>
                <w:lang w:val="uk-UA"/>
              </w:rPr>
              <w:t>міських пасажирських перевезень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A8" w:rsidRPr="007C3AC6" w:rsidRDefault="008B6794" w:rsidP="000B291E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Виготовлення пільгових е-квитків (персоніфікованих безконтактних карток) за рахунок коштів </w:t>
            </w:r>
            <w:r w:rsidR="00DE63C5" w:rsidRPr="007C3AC6">
              <w:rPr>
                <w:sz w:val="26"/>
                <w:szCs w:val="26"/>
                <w:lang w:val="uk-UA"/>
              </w:rPr>
              <w:t>бюджету Сумської міської об’єднаної територіальної громади</w:t>
            </w:r>
          </w:p>
        </w:tc>
      </w:tr>
      <w:tr w:rsidR="008B6794" w:rsidRPr="00F4652B" w:rsidTr="00C77F75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5" w:rsidRPr="007C3AC6" w:rsidRDefault="00710358" w:rsidP="00166A3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Обґрунтовані дані для формування бюджету Сумської міської ОТГ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4" w:rsidRPr="00B34D1C" w:rsidRDefault="008B6794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34D1C" w:rsidRPr="00B34D1C" w:rsidTr="00B34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FF3241" w:rsidRDefault="00B34D1C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FF3241">
              <w:rPr>
                <w:b/>
                <w:sz w:val="28"/>
                <w:szCs w:val="28"/>
                <w:lang w:val="uk-UA"/>
              </w:rPr>
              <w:t xml:space="preserve">Сфера інтересів </w:t>
            </w:r>
            <w:r w:rsidR="00116DC5">
              <w:rPr>
                <w:b/>
                <w:sz w:val="28"/>
                <w:szCs w:val="28"/>
                <w:lang w:val="uk-UA"/>
              </w:rPr>
              <w:t xml:space="preserve">суб’єктів </w:t>
            </w:r>
            <w:r w:rsidRPr="00FF3241">
              <w:rPr>
                <w:b/>
                <w:sz w:val="28"/>
                <w:szCs w:val="28"/>
                <w:lang w:val="uk-UA"/>
              </w:rPr>
              <w:t>господарювання</w:t>
            </w:r>
          </w:p>
        </w:tc>
      </w:tr>
      <w:tr w:rsidR="00B34D1C" w:rsidRPr="007C3AC6" w:rsidTr="00630D84">
        <w:trPr>
          <w:trHeight w:val="73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B" w:rsidRPr="007C3AC6" w:rsidRDefault="008B6794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Зменшення витрат на організацію та контроль збору виручки 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B34D1C" w:rsidRPr="007C3AC6" w:rsidRDefault="008B6794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Оплата вартості послуг </w:t>
            </w:r>
            <w:r w:rsidR="00D257FF" w:rsidRPr="007C3AC6">
              <w:rPr>
                <w:sz w:val="26"/>
                <w:szCs w:val="26"/>
                <w:lang w:val="uk-UA"/>
              </w:rPr>
              <w:t>інвестора (</w:t>
            </w:r>
            <w:r w:rsidR="00F20006" w:rsidRPr="00F20006">
              <w:rPr>
                <w:sz w:val="26"/>
                <w:szCs w:val="26"/>
                <w:lang w:val="uk-UA"/>
              </w:rPr>
              <w:t>уповноваженої особи на справляння  плати за транспортні послуги в міському пасажирському транспорті</w:t>
            </w:r>
            <w:r w:rsidR="00D257FF" w:rsidRPr="007C3AC6">
              <w:rPr>
                <w:sz w:val="26"/>
                <w:szCs w:val="26"/>
                <w:lang w:val="uk-UA"/>
              </w:rPr>
              <w:t>)</w:t>
            </w:r>
          </w:p>
        </w:tc>
      </w:tr>
      <w:tr w:rsidR="00B34D1C" w:rsidRPr="007C3AC6" w:rsidTr="00166A3C">
        <w:trPr>
          <w:trHeight w:val="80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7C3AC6" w:rsidRDefault="008B6794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Підвищення економічних показників роботи 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34D1C" w:rsidRPr="00B34D1C" w:rsidTr="00B34D1C">
        <w:trPr>
          <w:trHeight w:val="96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8" w:rsidRDefault="008B6794" w:rsidP="000B291E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Скорочення витрат на </w:t>
            </w:r>
            <w:r w:rsidR="00630D84" w:rsidRPr="007C3AC6">
              <w:rPr>
                <w:sz w:val="26"/>
                <w:szCs w:val="26"/>
                <w:lang w:val="uk-UA"/>
              </w:rPr>
              <w:t>виготовлення</w:t>
            </w:r>
            <w:r w:rsidRPr="007C3AC6">
              <w:rPr>
                <w:sz w:val="26"/>
                <w:szCs w:val="26"/>
                <w:lang w:val="uk-UA"/>
              </w:rPr>
              <w:t xml:space="preserve"> проїзних квитків за рахунок довшого терміну служби безконтактних карток</w:t>
            </w:r>
          </w:p>
          <w:p w:rsidR="00EB5F5A" w:rsidRPr="007C3AC6" w:rsidRDefault="00EB5F5A" w:rsidP="000B291E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4D1C" w:rsidRPr="00B34D1C" w:rsidTr="00B34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lastRenderedPageBreak/>
              <w:t>Сфера інтересів громадян</w:t>
            </w:r>
          </w:p>
        </w:tc>
      </w:tr>
      <w:tr w:rsidR="007C3AC6" w:rsidRPr="00B34D1C" w:rsidTr="00F4428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7C3AC6" w:rsidP="00B34D1C">
            <w:pPr>
              <w:ind w:firstLine="540"/>
              <w:jc w:val="both"/>
              <w:rPr>
                <w:b/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Гнучка система оплати проїзду, що передбачає застосування системи знижок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Для платної категорії пасажирів:</w:t>
            </w:r>
          </w:p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- витрати на придбання безконтактних карток;</w:t>
            </w:r>
          </w:p>
          <w:p w:rsidR="007C3AC6" w:rsidRPr="00B34D1C" w:rsidRDefault="007C3AC6" w:rsidP="00630D84">
            <w:pPr>
              <w:tabs>
                <w:tab w:val="left" w:pos="133"/>
              </w:tabs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- оплата вартості транспортних послуг</w:t>
            </w:r>
          </w:p>
        </w:tc>
      </w:tr>
      <w:tr w:rsidR="007C3AC6" w:rsidRPr="00B34D1C" w:rsidTr="00F44287">
        <w:trPr>
          <w:trHeight w:val="166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Для пільгової категорії пасажирів: безоплатність отримання пільгових е-квитків (персоніфікованих безконтактних карток)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C6" w:rsidRPr="00FF3241" w:rsidRDefault="007C3AC6" w:rsidP="00630D84">
            <w:pPr>
              <w:tabs>
                <w:tab w:val="left" w:pos="133"/>
              </w:tabs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3AC6" w:rsidRPr="003A459D" w:rsidTr="009E4EFA">
        <w:trPr>
          <w:trHeight w:val="1364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B54E1C" w:rsidP="00B54E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Можливість розширення сфери послуг (підключення додаткових послуг: знижки а аптеках, на відвідування музеїв, бібліотек, культурних заходів тощо) 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FF3241" w:rsidRDefault="007C3AC6" w:rsidP="00630D84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13DB" w:rsidRPr="007D13DB" w:rsidRDefault="007D13DB" w:rsidP="00C063CE">
      <w:pPr>
        <w:tabs>
          <w:tab w:val="left" w:pos="1260"/>
        </w:tabs>
        <w:jc w:val="both"/>
        <w:rPr>
          <w:sz w:val="8"/>
          <w:szCs w:val="8"/>
          <w:lang w:val="uk-UA"/>
        </w:rPr>
      </w:pPr>
    </w:p>
    <w:p w:rsidR="004203A8" w:rsidRDefault="004203A8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4203A8" w:rsidRDefault="004203A8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4203A8" w:rsidRDefault="004203A8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4203A8" w:rsidRDefault="004203A8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FA258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12613">
        <w:rPr>
          <w:sz w:val="28"/>
          <w:szCs w:val="28"/>
          <w:lang w:val="uk-UA"/>
        </w:rPr>
        <w:t>а</w:t>
      </w:r>
      <w:r w:rsidR="000A5322">
        <w:rPr>
          <w:sz w:val="28"/>
          <w:szCs w:val="28"/>
          <w:lang w:val="uk-UA"/>
        </w:rPr>
        <w:t xml:space="preserve">чальник відділу транспорту,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зв’язку та телекомунікаційних </w:t>
      </w:r>
    </w:p>
    <w:p w:rsidR="004203A8" w:rsidRDefault="000A5322" w:rsidP="00112613">
      <w:pPr>
        <w:tabs>
          <w:tab w:val="left" w:pos="126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584">
        <w:rPr>
          <w:sz w:val="28"/>
          <w:szCs w:val="28"/>
          <w:lang w:val="uk-UA"/>
        </w:rPr>
        <w:t>С.В. Яковенко</w:t>
      </w: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4203A8" w:rsidRDefault="004203A8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ED35A1" w:rsidRDefault="00ED35A1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ED35A1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58" w:rsidRDefault="00E22B58" w:rsidP="00C86E19">
      <w:r>
        <w:separator/>
      </w:r>
    </w:p>
  </w:endnote>
  <w:endnote w:type="continuationSeparator" w:id="0">
    <w:p w:rsidR="00E22B58" w:rsidRDefault="00E22B58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58" w:rsidRDefault="00E22B58" w:rsidP="00C86E19">
      <w:r>
        <w:separator/>
      </w:r>
    </w:p>
  </w:footnote>
  <w:footnote w:type="continuationSeparator" w:id="0">
    <w:p w:rsidR="00E22B58" w:rsidRDefault="00E22B58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5076D1D"/>
    <w:multiLevelType w:val="hybridMultilevel"/>
    <w:tmpl w:val="B9546EBC"/>
    <w:lvl w:ilvl="0" w:tplc="97E8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970A84"/>
    <w:multiLevelType w:val="multilevel"/>
    <w:tmpl w:val="41782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003F7"/>
    <w:rsid w:val="000112CF"/>
    <w:rsid w:val="00025601"/>
    <w:rsid w:val="00030D55"/>
    <w:rsid w:val="00047EB9"/>
    <w:rsid w:val="000756C0"/>
    <w:rsid w:val="00082152"/>
    <w:rsid w:val="00091AE6"/>
    <w:rsid w:val="000A24F8"/>
    <w:rsid w:val="000A5322"/>
    <w:rsid w:val="000B291E"/>
    <w:rsid w:val="000C36EB"/>
    <w:rsid w:val="000D2345"/>
    <w:rsid w:val="00112613"/>
    <w:rsid w:val="001161D7"/>
    <w:rsid w:val="00116DC5"/>
    <w:rsid w:val="001421DC"/>
    <w:rsid w:val="00153DD6"/>
    <w:rsid w:val="00166A3C"/>
    <w:rsid w:val="0018088D"/>
    <w:rsid w:val="00195298"/>
    <w:rsid w:val="001B7B92"/>
    <w:rsid w:val="001C3B49"/>
    <w:rsid w:val="001D2ED3"/>
    <w:rsid w:val="001E3427"/>
    <w:rsid w:val="001E63E9"/>
    <w:rsid w:val="0021514A"/>
    <w:rsid w:val="00232546"/>
    <w:rsid w:val="00233737"/>
    <w:rsid w:val="00247F9D"/>
    <w:rsid w:val="00252254"/>
    <w:rsid w:val="00252E53"/>
    <w:rsid w:val="002536D8"/>
    <w:rsid w:val="00271373"/>
    <w:rsid w:val="00280A47"/>
    <w:rsid w:val="00281727"/>
    <w:rsid w:val="00282425"/>
    <w:rsid w:val="002843EA"/>
    <w:rsid w:val="00284E3F"/>
    <w:rsid w:val="002B1807"/>
    <w:rsid w:val="002C0E99"/>
    <w:rsid w:val="002E0262"/>
    <w:rsid w:val="002E588E"/>
    <w:rsid w:val="002E605B"/>
    <w:rsid w:val="00306117"/>
    <w:rsid w:val="0031632B"/>
    <w:rsid w:val="00334226"/>
    <w:rsid w:val="00352043"/>
    <w:rsid w:val="0035347E"/>
    <w:rsid w:val="00354231"/>
    <w:rsid w:val="0035722C"/>
    <w:rsid w:val="003643EA"/>
    <w:rsid w:val="0036693F"/>
    <w:rsid w:val="003974D7"/>
    <w:rsid w:val="003A459D"/>
    <w:rsid w:val="003B3F39"/>
    <w:rsid w:val="003B600B"/>
    <w:rsid w:val="003C2BFE"/>
    <w:rsid w:val="003C477D"/>
    <w:rsid w:val="00411B29"/>
    <w:rsid w:val="004203A8"/>
    <w:rsid w:val="00424284"/>
    <w:rsid w:val="00424439"/>
    <w:rsid w:val="00432363"/>
    <w:rsid w:val="004436D3"/>
    <w:rsid w:val="004443FF"/>
    <w:rsid w:val="00461C99"/>
    <w:rsid w:val="004669CE"/>
    <w:rsid w:val="004823EE"/>
    <w:rsid w:val="004A0D40"/>
    <w:rsid w:val="004D3DE5"/>
    <w:rsid w:val="004E58F2"/>
    <w:rsid w:val="004E6305"/>
    <w:rsid w:val="004F276F"/>
    <w:rsid w:val="00502D20"/>
    <w:rsid w:val="00506D1B"/>
    <w:rsid w:val="00506EC9"/>
    <w:rsid w:val="00522736"/>
    <w:rsid w:val="00530A95"/>
    <w:rsid w:val="00555493"/>
    <w:rsid w:val="00570631"/>
    <w:rsid w:val="0057627C"/>
    <w:rsid w:val="00582C2A"/>
    <w:rsid w:val="005875B3"/>
    <w:rsid w:val="00595DEC"/>
    <w:rsid w:val="005B3830"/>
    <w:rsid w:val="006060FD"/>
    <w:rsid w:val="006201D7"/>
    <w:rsid w:val="00620602"/>
    <w:rsid w:val="00622F4F"/>
    <w:rsid w:val="00630D84"/>
    <w:rsid w:val="0065697F"/>
    <w:rsid w:val="006607DB"/>
    <w:rsid w:val="0066147B"/>
    <w:rsid w:val="0066353F"/>
    <w:rsid w:val="00671739"/>
    <w:rsid w:val="006828EE"/>
    <w:rsid w:val="00690519"/>
    <w:rsid w:val="006B43E0"/>
    <w:rsid w:val="006B6ECA"/>
    <w:rsid w:val="006D27C3"/>
    <w:rsid w:val="006F1FA7"/>
    <w:rsid w:val="0070562E"/>
    <w:rsid w:val="00710358"/>
    <w:rsid w:val="00714AFD"/>
    <w:rsid w:val="00716E4A"/>
    <w:rsid w:val="0072061F"/>
    <w:rsid w:val="007471AB"/>
    <w:rsid w:val="00752D39"/>
    <w:rsid w:val="00783A65"/>
    <w:rsid w:val="00793129"/>
    <w:rsid w:val="00795A2A"/>
    <w:rsid w:val="007A58E1"/>
    <w:rsid w:val="007B4F85"/>
    <w:rsid w:val="007B51CE"/>
    <w:rsid w:val="007C3AC6"/>
    <w:rsid w:val="007D13DB"/>
    <w:rsid w:val="007E5ED0"/>
    <w:rsid w:val="00802FDF"/>
    <w:rsid w:val="00832555"/>
    <w:rsid w:val="008345F2"/>
    <w:rsid w:val="00842FFB"/>
    <w:rsid w:val="00846C9C"/>
    <w:rsid w:val="008758A4"/>
    <w:rsid w:val="00892838"/>
    <w:rsid w:val="008A3D5F"/>
    <w:rsid w:val="008B5FD6"/>
    <w:rsid w:val="008B6794"/>
    <w:rsid w:val="008C123C"/>
    <w:rsid w:val="008C2DCB"/>
    <w:rsid w:val="008E477C"/>
    <w:rsid w:val="008E4842"/>
    <w:rsid w:val="009222F1"/>
    <w:rsid w:val="00924893"/>
    <w:rsid w:val="009261A0"/>
    <w:rsid w:val="00944FA9"/>
    <w:rsid w:val="00974CFA"/>
    <w:rsid w:val="009A2EF4"/>
    <w:rsid w:val="009A6FA4"/>
    <w:rsid w:val="009A79B7"/>
    <w:rsid w:val="009B3D1C"/>
    <w:rsid w:val="009B75E8"/>
    <w:rsid w:val="009E4297"/>
    <w:rsid w:val="009E4EFA"/>
    <w:rsid w:val="009F148C"/>
    <w:rsid w:val="00A05E97"/>
    <w:rsid w:val="00A20C1B"/>
    <w:rsid w:val="00A3130E"/>
    <w:rsid w:val="00A31687"/>
    <w:rsid w:val="00A35FA0"/>
    <w:rsid w:val="00A71FBD"/>
    <w:rsid w:val="00AA23AD"/>
    <w:rsid w:val="00AB08A8"/>
    <w:rsid w:val="00AB34FF"/>
    <w:rsid w:val="00AC529D"/>
    <w:rsid w:val="00AE5CD3"/>
    <w:rsid w:val="00AE6A7B"/>
    <w:rsid w:val="00AE7569"/>
    <w:rsid w:val="00AF2EB5"/>
    <w:rsid w:val="00B1060B"/>
    <w:rsid w:val="00B110B7"/>
    <w:rsid w:val="00B22122"/>
    <w:rsid w:val="00B26951"/>
    <w:rsid w:val="00B269FC"/>
    <w:rsid w:val="00B34D1C"/>
    <w:rsid w:val="00B3543D"/>
    <w:rsid w:val="00B37DD5"/>
    <w:rsid w:val="00B54E1C"/>
    <w:rsid w:val="00B67ADB"/>
    <w:rsid w:val="00B769CC"/>
    <w:rsid w:val="00B7768C"/>
    <w:rsid w:val="00B7787C"/>
    <w:rsid w:val="00BA0834"/>
    <w:rsid w:val="00BC36E6"/>
    <w:rsid w:val="00BC7525"/>
    <w:rsid w:val="00BD5110"/>
    <w:rsid w:val="00BD7CC4"/>
    <w:rsid w:val="00C05FBE"/>
    <w:rsid w:val="00C063CE"/>
    <w:rsid w:val="00C14C1E"/>
    <w:rsid w:val="00C309A2"/>
    <w:rsid w:val="00C86E19"/>
    <w:rsid w:val="00C8772E"/>
    <w:rsid w:val="00CC46BF"/>
    <w:rsid w:val="00CF0F38"/>
    <w:rsid w:val="00D2118D"/>
    <w:rsid w:val="00D257FF"/>
    <w:rsid w:val="00D34848"/>
    <w:rsid w:val="00D363D8"/>
    <w:rsid w:val="00D46913"/>
    <w:rsid w:val="00D50DF3"/>
    <w:rsid w:val="00D71726"/>
    <w:rsid w:val="00DC1A98"/>
    <w:rsid w:val="00DD40C1"/>
    <w:rsid w:val="00DE63C5"/>
    <w:rsid w:val="00DF1C71"/>
    <w:rsid w:val="00DF5EC1"/>
    <w:rsid w:val="00E063DF"/>
    <w:rsid w:val="00E1785D"/>
    <w:rsid w:val="00E22B58"/>
    <w:rsid w:val="00E37110"/>
    <w:rsid w:val="00E6051D"/>
    <w:rsid w:val="00E641BB"/>
    <w:rsid w:val="00E83069"/>
    <w:rsid w:val="00E845AE"/>
    <w:rsid w:val="00EA226D"/>
    <w:rsid w:val="00EB258D"/>
    <w:rsid w:val="00EB5F5A"/>
    <w:rsid w:val="00ED35A1"/>
    <w:rsid w:val="00ED6385"/>
    <w:rsid w:val="00F16876"/>
    <w:rsid w:val="00F20006"/>
    <w:rsid w:val="00F24DDE"/>
    <w:rsid w:val="00F27576"/>
    <w:rsid w:val="00F4652B"/>
    <w:rsid w:val="00F54D69"/>
    <w:rsid w:val="00F61387"/>
    <w:rsid w:val="00F911DA"/>
    <w:rsid w:val="00FA2584"/>
    <w:rsid w:val="00FA334C"/>
    <w:rsid w:val="00FB76C2"/>
    <w:rsid w:val="00FC69C1"/>
    <w:rsid w:val="00FE04A1"/>
    <w:rsid w:val="00FE2420"/>
    <w:rsid w:val="00FE34B9"/>
    <w:rsid w:val="00FE3FED"/>
    <w:rsid w:val="00FF214F"/>
    <w:rsid w:val="00FF3241"/>
    <w:rsid w:val="00FF44E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2AD5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customStyle="1" w:styleId="10">
    <w:name w:val="Маркированный список1"/>
    <w:basedOn w:val="ad"/>
    <w:rsid w:val="00D46913"/>
    <w:pPr>
      <w:suppressAutoHyphens/>
      <w:spacing w:before="60" w:after="60" w:line="100" w:lineRule="atLeast"/>
      <w:ind w:left="491"/>
    </w:pPr>
    <w:rPr>
      <w:rFonts w:ascii="Franklin Gothic Book" w:hAnsi="Franklin Gothic Book" w:cs="Tahoma"/>
      <w:bCs/>
      <w:iCs/>
      <w:color w:val="000000"/>
      <w:sz w:val="16"/>
      <w:szCs w:val="16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06E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FA258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108</cp:revision>
  <cp:lastPrinted>2020-05-27T07:38:00Z</cp:lastPrinted>
  <dcterms:created xsi:type="dcterms:W3CDTF">2016-07-25T06:33:00Z</dcterms:created>
  <dcterms:modified xsi:type="dcterms:W3CDTF">2020-06-01T05:59:00Z</dcterms:modified>
</cp:coreProperties>
</file>