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962"/>
      </w:tblGrid>
      <w:tr w:rsidR="00CF29AC" w:rsidRPr="00296453" w:rsidTr="001B5539">
        <w:trPr>
          <w:trHeight w:val="2029"/>
        </w:trPr>
        <w:tc>
          <w:tcPr>
            <w:tcW w:w="4962" w:type="dxa"/>
          </w:tcPr>
          <w:p w:rsidR="00CF29AC" w:rsidRPr="00A15C13" w:rsidRDefault="00CF29AC" w:rsidP="001B5539">
            <w:pPr>
              <w:spacing w:after="0" w:line="240" w:lineRule="auto"/>
              <w:jc w:val="both"/>
              <w:rPr>
                <w:rFonts w:ascii="Times New Roman" w:eastAsia="Batang" w:hAnsi="Times New Roman" w:cs="Times New Roman"/>
                <w:sz w:val="28"/>
                <w:szCs w:val="28"/>
                <w:lang w:eastAsia="ru-RU"/>
              </w:rPr>
            </w:pPr>
            <w:r w:rsidRPr="00A15C13">
              <w:rPr>
                <w:rFonts w:ascii="Times New Roman" w:eastAsia="Batang" w:hAnsi="Times New Roman" w:cs="Times New Roman"/>
                <w:sz w:val="28"/>
                <w:szCs w:val="28"/>
                <w:lang w:eastAsia="ru-RU"/>
              </w:rPr>
              <w:t xml:space="preserve">від </w:t>
            </w:r>
            <w:r w:rsidR="006A7A65" w:rsidRPr="00A15C13">
              <w:rPr>
                <w:rFonts w:ascii="Times New Roman" w:eastAsia="Batang" w:hAnsi="Times New Roman" w:cs="Times New Roman"/>
                <w:sz w:val="28"/>
                <w:szCs w:val="28"/>
                <w:lang w:eastAsia="ru-RU"/>
              </w:rPr>
              <w:t xml:space="preserve"> </w:t>
            </w:r>
            <w:r w:rsidR="00A15C13">
              <w:rPr>
                <w:rFonts w:ascii="Times New Roman" w:eastAsia="Batang" w:hAnsi="Times New Roman" w:cs="Times New Roman"/>
                <w:sz w:val="28"/>
                <w:szCs w:val="28"/>
                <w:lang w:eastAsia="ru-RU"/>
              </w:rPr>
              <w:t xml:space="preserve">29.04.2020 </w:t>
            </w:r>
            <w:r w:rsidR="006A7A65" w:rsidRPr="00A15C13">
              <w:rPr>
                <w:rFonts w:ascii="Times New Roman" w:eastAsia="Batang" w:hAnsi="Times New Roman" w:cs="Times New Roman"/>
                <w:sz w:val="28"/>
                <w:szCs w:val="28"/>
                <w:lang w:eastAsia="ru-RU"/>
              </w:rPr>
              <w:t xml:space="preserve">  </w:t>
            </w:r>
            <w:r w:rsidRPr="00A15C13">
              <w:rPr>
                <w:rFonts w:ascii="Times New Roman" w:eastAsia="Batang" w:hAnsi="Times New Roman" w:cs="Times New Roman"/>
                <w:sz w:val="28"/>
                <w:szCs w:val="28"/>
                <w:lang w:eastAsia="ru-RU"/>
              </w:rPr>
              <w:t xml:space="preserve">№ </w:t>
            </w:r>
            <w:r w:rsidR="00A15C13">
              <w:rPr>
                <w:rFonts w:ascii="Times New Roman" w:eastAsia="Batang" w:hAnsi="Times New Roman" w:cs="Times New Roman"/>
                <w:sz w:val="28"/>
                <w:szCs w:val="28"/>
                <w:lang w:eastAsia="ru-RU"/>
              </w:rPr>
              <w:t>222</w:t>
            </w:r>
            <w:r w:rsidRPr="00A15C13">
              <w:rPr>
                <w:rFonts w:ascii="Times New Roman" w:eastAsia="Batang" w:hAnsi="Times New Roman" w:cs="Times New Roman"/>
                <w:sz w:val="28"/>
                <w:szCs w:val="28"/>
                <w:lang w:eastAsia="ru-RU"/>
              </w:rPr>
              <w:t xml:space="preserve">  </w:t>
            </w:r>
          </w:p>
          <w:p w:rsidR="00CF29AC" w:rsidRPr="00CE077C" w:rsidRDefault="00CF29AC" w:rsidP="001B5539">
            <w:pPr>
              <w:spacing w:after="0" w:line="240" w:lineRule="auto"/>
              <w:jc w:val="both"/>
              <w:rPr>
                <w:rFonts w:ascii="Times New Roman" w:eastAsia="Batang" w:hAnsi="Times New Roman" w:cs="Times New Roman"/>
                <w:b/>
                <w:color w:val="000000"/>
                <w:sz w:val="28"/>
                <w:szCs w:val="28"/>
                <w:lang w:eastAsia="ru-RU"/>
              </w:rPr>
            </w:pPr>
          </w:p>
          <w:p w:rsidR="00CF29AC" w:rsidRPr="00342042" w:rsidRDefault="00562E37" w:rsidP="00F26823">
            <w:pPr>
              <w:pStyle w:val="1"/>
              <w:jc w:val="both"/>
              <w:rPr>
                <w:rFonts w:eastAsia="Batang"/>
              </w:rPr>
            </w:pPr>
            <w:r w:rsidRPr="00342042">
              <w:rPr>
                <w:rStyle w:val="a3"/>
                <w:i w:val="0"/>
                <w:iCs w:val="0"/>
              </w:rPr>
              <w:t xml:space="preserve">Про </w:t>
            </w:r>
            <w:r w:rsidR="00325B97" w:rsidRPr="00342042">
              <w:rPr>
                <w:rStyle w:val="a3"/>
                <w:i w:val="0"/>
                <w:iCs w:val="0"/>
              </w:rPr>
              <w:t>затвердження норм на</w:t>
            </w:r>
            <w:r w:rsidR="00F26823">
              <w:rPr>
                <w:rStyle w:val="a3"/>
                <w:i w:val="0"/>
                <w:iCs w:val="0"/>
              </w:rPr>
              <w:t>дання послуг з вивезення</w:t>
            </w:r>
            <w:r w:rsidR="00325B97" w:rsidRPr="00342042">
              <w:rPr>
                <w:rStyle w:val="a3"/>
                <w:i w:val="0"/>
                <w:iCs w:val="0"/>
              </w:rPr>
              <w:t xml:space="preserve"> </w:t>
            </w:r>
            <w:r w:rsidR="00F26823">
              <w:rPr>
                <w:rStyle w:val="a3"/>
                <w:i w:val="0"/>
                <w:iCs w:val="0"/>
              </w:rPr>
              <w:t>побутових відходів які утворюються на території Сумської міської об’єднаної територіальної громади</w:t>
            </w:r>
            <w:r w:rsidR="00CD355D">
              <w:rPr>
                <w:rStyle w:val="a3"/>
                <w:i w:val="0"/>
                <w:iCs w:val="0"/>
              </w:rPr>
              <w:t xml:space="preserve"> на 2020-2024 роки</w:t>
            </w:r>
          </w:p>
        </w:tc>
      </w:tr>
    </w:tbl>
    <w:p w:rsidR="00CF29AC" w:rsidRPr="00CE077C" w:rsidRDefault="00CF29AC" w:rsidP="001B5D90">
      <w:pPr>
        <w:spacing w:after="0" w:line="240" w:lineRule="auto"/>
        <w:ind w:firstLine="708"/>
        <w:jc w:val="both"/>
        <w:rPr>
          <w:rFonts w:ascii="Times New Roman" w:eastAsia="Batang" w:hAnsi="Times New Roman" w:cs="Times New Roman"/>
          <w:sz w:val="28"/>
          <w:szCs w:val="28"/>
          <w:lang w:eastAsia="ru-RU"/>
        </w:rPr>
      </w:pPr>
    </w:p>
    <w:p w:rsidR="00F26823" w:rsidRDefault="00F26823" w:rsidP="00F26823">
      <w:pPr>
        <w:pStyle w:val="ab"/>
        <w:tabs>
          <w:tab w:val="left" w:pos="4253"/>
        </w:tabs>
        <w:ind w:firstLine="709"/>
        <w:jc w:val="both"/>
        <w:rPr>
          <w:rFonts w:ascii="Times New Roman" w:hAnsi="Times New Roman"/>
          <w:sz w:val="28"/>
          <w:szCs w:val="28"/>
        </w:rPr>
      </w:pPr>
      <w:r w:rsidRPr="00816DF6">
        <w:rPr>
          <w:rFonts w:ascii="Times New Roman" w:hAnsi="Times New Roman" w:cs="Times New Roman"/>
          <w:sz w:val="28"/>
          <w:szCs w:val="28"/>
        </w:rPr>
        <w:t>З метою забезпечення санітарної очистки міста та встановлення єдиних підходів до показників нормування надання послуг з вивезення твердих побутових, великогабаритних та ремонтних побутових відходів</w:t>
      </w:r>
      <w:r w:rsidRPr="00816DF6">
        <w:rPr>
          <w:rFonts w:ascii="Times New Roman" w:hAnsi="Times New Roman"/>
          <w:sz w:val="28"/>
          <w:szCs w:val="28"/>
        </w:rPr>
        <w:t>, що утворюються на території Сумської міської об’єднаної територіальної громади, забезпечення утримання території в належному санітарному стані, зменшення негативного впливу відходів на довкілля та здоров’я нас</w:t>
      </w:r>
      <w:r w:rsidR="00D6708C">
        <w:rPr>
          <w:rFonts w:ascii="Times New Roman" w:hAnsi="Times New Roman"/>
          <w:sz w:val="28"/>
          <w:szCs w:val="28"/>
        </w:rPr>
        <w:t xml:space="preserve">елення, відповідно до </w:t>
      </w:r>
      <w:r w:rsidRPr="00816DF6">
        <w:rPr>
          <w:rFonts w:ascii="Times New Roman" w:hAnsi="Times New Roman"/>
          <w:sz w:val="28"/>
          <w:szCs w:val="28"/>
        </w:rPr>
        <w:t xml:space="preserve">Закону України «Про житлово-комунальні послуги», статті 35-1 Закону України «Про відходи», постанови Кабінету Міністрів України від 10.12.2008 № 1070 «Про затвердження Правил надання послуг з вивезення побутових відходів», </w:t>
      </w:r>
      <w:r w:rsidRPr="00816DF6">
        <w:rPr>
          <w:rStyle w:val="rvts7"/>
          <w:rFonts w:ascii="Times New Roman" w:hAnsi="Times New Roman" w:cs="Times New Roman"/>
          <w:color w:val="000000"/>
          <w:sz w:val="28"/>
          <w:szCs w:val="28"/>
          <w:shd w:val="clear" w:color="auto" w:fill="FFFFFF"/>
        </w:rPr>
        <w:t xml:space="preserve">наказів Міністерства з питань житлово-комунального господарства України від 30.07.2010 № 259 «Про затвердження Правил визначення норм надання послуг з вивезення побутових відходів», </w:t>
      </w:r>
      <w:r w:rsidR="00D6708C">
        <w:rPr>
          <w:rFonts w:ascii="Times New Roman" w:hAnsi="Times New Roman" w:cs="Times New Roman"/>
          <w:sz w:val="28"/>
          <w:szCs w:val="28"/>
        </w:rPr>
        <w:t>у</w:t>
      </w:r>
      <w:r w:rsidR="008E3444">
        <w:rPr>
          <w:rFonts w:ascii="Times New Roman" w:hAnsi="Times New Roman" w:cs="Times New Roman"/>
          <w:sz w:val="28"/>
          <w:szCs w:val="28"/>
        </w:rPr>
        <w:t>раховуючи науково-технічні</w:t>
      </w:r>
      <w:r w:rsidRPr="00816DF6">
        <w:rPr>
          <w:rFonts w:ascii="Times New Roman" w:hAnsi="Times New Roman" w:cs="Times New Roman"/>
          <w:sz w:val="28"/>
          <w:szCs w:val="28"/>
        </w:rPr>
        <w:t xml:space="preserve"> звіт</w:t>
      </w:r>
      <w:r w:rsidR="008E3444">
        <w:rPr>
          <w:rFonts w:ascii="Times New Roman" w:hAnsi="Times New Roman" w:cs="Times New Roman"/>
          <w:sz w:val="28"/>
          <w:szCs w:val="28"/>
        </w:rPr>
        <w:t>и від 10.12.2019</w:t>
      </w:r>
      <w:r w:rsidRPr="00816DF6">
        <w:rPr>
          <w:rFonts w:ascii="Times New Roman" w:hAnsi="Times New Roman" w:cs="Times New Roman"/>
          <w:sz w:val="28"/>
          <w:szCs w:val="28"/>
        </w:rPr>
        <w:t xml:space="preserve"> </w:t>
      </w:r>
      <w:r w:rsidR="00816DF6" w:rsidRPr="00816DF6">
        <w:rPr>
          <w:rFonts w:ascii="Times New Roman" w:hAnsi="Times New Roman" w:cs="Times New Roman"/>
          <w:sz w:val="28"/>
          <w:szCs w:val="28"/>
        </w:rPr>
        <w:t>«Послуги з розробки норм надання послуг з вивезення твердих побутових відходів в м.</w:t>
      </w:r>
      <w:r w:rsidR="00D6708C">
        <w:rPr>
          <w:rFonts w:ascii="Times New Roman" w:hAnsi="Times New Roman" w:cs="Times New Roman"/>
          <w:sz w:val="28"/>
          <w:szCs w:val="28"/>
        </w:rPr>
        <w:t xml:space="preserve"> </w:t>
      </w:r>
      <w:r w:rsidR="00816DF6" w:rsidRPr="00816DF6">
        <w:rPr>
          <w:rFonts w:ascii="Times New Roman" w:hAnsi="Times New Roman" w:cs="Times New Roman"/>
          <w:sz w:val="28"/>
          <w:szCs w:val="28"/>
        </w:rPr>
        <w:t>Суми»</w:t>
      </w:r>
      <w:r w:rsidR="008E3444">
        <w:rPr>
          <w:rFonts w:ascii="Times New Roman" w:hAnsi="Times New Roman" w:cs="Times New Roman"/>
          <w:sz w:val="28"/>
          <w:szCs w:val="28"/>
        </w:rPr>
        <w:t xml:space="preserve"> та </w:t>
      </w:r>
      <w:r w:rsidR="00863977">
        <w:rPr>
          <w:rFonts w:ascii="Times New Roman" w:hAnsi="Times New Roman" w:cs="Times New Roman"/>
          <w:sz w:val="28"/>
          <w:szCs w:val="28"/>
        </w:rPr>
        <w:t xml:space="preserve">від 20.12.2019 </w:t>
      </w:r>
      <w:r w:rsidR="008E3444">
        <w:rPr>
          <w:rFonts w:ascii="Times New Roman" w:hAnsi="Times New Roman" w:cs="Times New Roman"/>
          <w:sz w:val="28"/>
          <w:szCs w:val="28"/>
        </w:rPr>
        <w:t>«Розробка норм накопичення рослинних відходів в м.</w:t>
      </w:r>
      <w:r w:rsidR="00D6708C">
        <w:rPr>
          <w:rFonts w:ascii="Times New Roman" w:hAnsi="Times New Roman" w:cs="Times New Roman"/>
          <w:sz w:val="28"/>
          <w:szCs w:val="28"/>
        </w:rPr>
        <w:t xml:space="preserve"> </w:t>
      </w:r>
      <w:r w:rsidR="008E3444">
        <w:rPr>
          <w:rFonts w:ascii="Times New Roman" w:hAnsi="Times New Roman" w:cs="Times New Roman"/>
          <w:sz w:val="28"/>
          <w:szCs w:val="28"/>
        </w:rPr>
        <w:t>Суми Сумської області»</w:t>
      </w:r>
      <w:r w:rsidRPr="00816DF6">
        <w:rPr>
          <w:rFonts w:ascii="Times New Roman" w:hAnsi="Times New Roman" w:cs="Times New Roman"/>
          <w:sz w:val="28"/>
          <w:szCs w:val="28"/>
        </w:rPr>
        <w:t xml:space="preserve"> </w:t>
      </w:r>
      <w:r w:rsidR="00816DF6" w:rsidRPr="00816DF6">
        <w:rPr>
          <w:rFonts w:ascii="Times New Roman" w:hAnsi="Times New Roman" w:cs="Times New Roman"/>
          <w:sz w:val="28"/>
          <w:szCs w:val="28"/>
        </w:rPr>
        <w:t xml:space="preserve">Державного підприємства </w:t>
      </w:r>
      <w:r w:rsidR="008E3444">
        <w:rPr>
          <w:rFonts w:ascii="Times New Roman" w:hAnsi="Times New Roman" w:cs="Times New Roman"/>
          <w:sz w:val="28"/>
          <w:szCs w:val="28"/>
        </w:rPr>
        <w:t xml:space="preserve">«Науково-дослідний та </w:t>
      </w:r>
      <w:proofErr w:type="spellStart"/>
      <w:r w:rsidR="008E3444">
        <w:rPr>
          <w:rFonts w:ascii="Times New Roman" w:hAnsi="Times New Roman" w:cs="Times New Roman"/>
          <w:sz w:val="28"/>
          <w:szCs w:val="28"/>
        </w:rPr>
        <w:t>конструкт</w:t>
      </w:r>
      <w:r w:rsidR="00816DF6" w:rsidRPr="00816DF6">
        <w:rPr>
          <w:rFonts w:ascii="Times New Roman" w:hAnsi="Times New Roman" w:cs="Times New Roman"/>
          <w:sz w:val="28"/>
          <w:szCs w:val="28"/>
        </w:rPr>
        <w:t>орсько</w:t>
      </w:r>
      <w:proofErr w:type="spellEnd"/>
      <w:r w:rsidR="00816DF6" w:rsidRPr="00816DF6">
        <w:rPr>
          <w:rFonts w:ascii="Times New Roman" w:hAnsi="Times New Roman" w:cs="Times New Roman"/>
          <w:sz w:val="28"/>
          <w:szCs w:val="28"/>
        </w:rPr>
        <w:t>-технологічний інститут міського господарства»</w:t>
      </w:r>
      <w:r w:rsidRPr="00816DF6">
        <w:rPr>
          <w:rFonts w:ascii="Times New Roman" w:hAnsi="Times New Roman" w:cs="Times New Roman"/>
          <w:sz w:val="28"/>
          <w:szCs w:val="28"/>
        </w:rPr>
        <w:t xml:space="preserve">, керуючись підпунктом 16 пункту «а» статті 30 та частиною першою статті 52 </w:t>
      </w:r>
      <w:r w:rsidRPr="00816DF6">
        <w:rPr>
          <w:rFonts w:ascii="Times New Roman" w:hAnsi="Times New Roman" w:cs="Times New Roman"/>
          <w:sz w:val="28"/>
          <w:szCs w:val="28"/>
          <w:lang w:eastAsia="ru-RU"/>
        </w:rPr>
        <w:t xml:space="preserve">Закону України «Про місцеве самоврядування в Україні», </w:t>
      </w:r>
      <w:r w:rsidRPr="00816DF6">
        <w:rPr>
          <w:rFonts w:ascii="Times New Roman" w:hAnsi="Times New Roman" w:cs="Times New Roman"/>
          <w:b/>
          <w:bCs/>
          <w:sz w:val="28"/>
          <w:lang w:eastAsia="ru-RU"/>
        </w:rPr>
        <w:t>виконавчий комітет Сумської міської ради</w:t>
      </w:r>
    </w:p>
    <w:p w:rsidR="00F26823" w:rsidRDefault="00F26823" w:rsidP="00F26823">
      <w:pPr>
        <w:pStyle w:val="ab"/>
        <w:tabs>
          <w:tab w:val="left" w:pos="4253"/>
        </w:tabs>
        <w:ind w:firstLine="709"/>
        <w:jc w:val="both"/>
        <w:rPr>
          <w:rFonts w:ascii="Times New Roman" w:hAnsi="Times New Roman"/>
          <w:sz w:val="28"/>
          <w:szCs w:val="28"/>
        </w:rPr>
      </w:pPr>
    </w:p>
    <w:p w:rsidR="00D6708C" w:rsidRDefault="00D6708C"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BF4C83" w:rsidRDefault="002B681B" w:rsidP="00816DF6">
      <w:pPr>
        <w:pStyle w:val="a5"/>
        <w:tabs>
          <w:tab w:val="left" w:pos="1134"/>
        </w:tabs>
        <w:spacing w:after="0" w:line="240" w:lineRule="auto"/>
        <w:ind w:left="0" w:firstLine="709"/>
        <w:jc w:val="both"/>
        <w:rPr>
          <w:rFonts w:ascii="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F504F7" w:rsidRPr="00BF4C83">
        <w:rPr>
          <w:rFonts w:ascii="Times New Roman" w:hAnsi="Times New Roman" w:cs="Times New Roman"/>
          <w:sz w:val="28"/>
          <w:szCs w:val="28"/>
        </w:rPr>
        <w:t>Затвердити норми надання послуг</w:t>
      </w:r>
      <w:r w:rsidR="00816DF6">
        <w:rPr>
          <w:rFonts w:ascii="Times New Roman" w:hAnsi="Times New Roman" w:cs="Times New Roman"/>
          <w:sz w:val="28"/>
          <w:szCs w:val="28"/>
        </w:rPr>
        <w:t xml:space="preserve"> з вивезення побутових відходів,</w:t>
      </w:r>
      <w:r w:rsidR="00816DF6" w:rsidRPr="00816DF6">
        <w:t xml:space="preserve"> </w:t>
      </w:r>
      <w:r w:rsidR="00816DF6" w:rsidRPr="00816DF6">
        <w:rPr>
          <w:rFonts w:ascii="Times New Roman" w:hAnsi="Times New Roman" w:cs="Times New Roman"/>
          <w:sz w:val="28"/>
          <w:szCs w:val="28"/>
        </w:rPr>
        <w:t>що утворюються на території Сумської міської об’єднаної територіальної громади</w:t>
      </w:r>
      <w:r w:rsidR="00637700">
        <w:rPr>
          <w:rFonts w:ascii="Times New Roman" w:hAnsi="Times New Roman" w:cs="Times New Roman"/>
          <w:sz w:val="28"/>
          <w:szCs w:val="28"/>
        </w:rPr>
        <w:t xml:space="preserve"> для житлових будинків</w:t>
      </w:r>
      <w:r w:rsidR="00637700" w:rsidRPr="00637700">
        <w:rPr>
          <w:rFonts w:ascii="Times New Roman" w:hAnsi="Times New Roman" w:cs="Times New Roman"/>
          <w:sz w:val="28"/>
          <w:szCs w:val="28"/>
        </w:rPr>
        <w:t xml:space="preserve"> </w:t>
      </w:r>
      <w:r w:rsidR="00637700">
        <w:rPr>
          <w:rFonts w:ascii="Times New Roman" w:hAnsi="Times New Roman" w:cs="Times New Roman"/>
          <w:sz w:val="28"/>
          <w:szCs w:val="28"/>
        </w:rPr>
        <w:t>багатоквартирних, одноквартирних упорядкованих</w:t>
      </w:r>
      <w:r w:rsidR="0082225A">
        <w:rPr>
          <w:rFonts w:ascii="Times New Roman" w:hAnsi="Times New Roman" w:cs="Times New Roman"/>
          <w:sz w:val="28"/>
          <w:szCs w:val="28"/>
        </w:rPr>
        <w:t xml:space="preserve">             </w:t>
      </w:r>
      <w:r w:rsidR="00637700">
        <w:rPr>
          <w:rFonts w:ascii="Times New Roman" w:hAnsi="Times New Roman" w:cs="Times New Roman"/>
          <w:sz w:val="28"/>
          <w:szCs w:val="28"/>
        </w:rPr>
        <w:t xml:space="preserve"> (з наявністю усіх видів благоустрою), житлових будинків індивідуальної забудови (будинки п</w:t>
      </w:r>
      <w:r w:rsidR="0047289F">
        <w:rPr>
          <w:rFonts w:ascii="Times New Roman" w:hAnsi="Times New Roman" w:cs="Times New Roman"/>
          <w:sz w:val="28"/>
          <w:szCs w:val="28"/>
        </w:rPr>
        <w:t>риватного сектору)</w:t>
      </w:r>
      <w:r w:rsidR="00637700">
        <w:rPr>
          <w:rFonts w:ascii="Times New Roman" w:hAnsi="Times New Roman" w:cs="Times New Roman"/>
          <w:sz w:val="28"/>
          <w:szCs w:val="28"/>
        </w:rPr>
        <w:t xml:space="preserve"> з присадибною ділянкою, підприємств, </w:t>
      </w:r>
      <w:r w:rsidR="00637700">
        <w:rPr>
          <w:rFonts w:ascii="Times New Roman" w:hAnsi="Times New Roman" w:cs="Times New Roman"/>
          <w:sz w:val="28"/>
          <w:szCs w:val="28"/>
        </w:rPr>
        <w:lastRenderedPageBreak/>
        <w:t>установ, організацій та інших об’</w:t>
      </w:r>
      <w:r w:rsidR="0047289F">
        <w:rPr>
          <w:rFonts w:ascii="Times New Roman" w:hAnsi="Times New Roman" w:cs="Times New Roman"/>
          <w:sz w:val="28"/>
          <w:szCs w:val="28"/>
        </w:rPr>
        <w:t>єкті</w:t>
      </w:r>
      <w:r w:rsidR="00043644">
        <w:rPr>
          <w:rFonts w:ascii="Times New Roman" w:hAnsi="Times New Roman" w:cs="Times New Roman"/>
          <w:sz w:val="28"/>
          <w:szCs w:val="28"/>
        </w:rPr>
        <w:t xml:space="preserve">в утворення побутових відходів </w:t>
      </w:r>
      <w:r w:rsidR="0047289F">
        <w:rPr>
          <w:rFonts w:ascii="Times New Roman" w:hAnsi="Times New Roman" w:cs="Times New Roman"/>
          <w:sz w:val="28"/>
          <w:szCs w:val="28"/>
        </w:rPr>
        <w:t>згідно додатку</w:t>
      </w:r>
      <w:r w:rsidR="00043644">
        <w:rPr>
          <w:rFonts w:ascii="Times New Roman" w:hAnsi="Times New Roman" w:cs="Times New Roman"/>
          <w:sz w:val="28"/>
          <w:szCs w:val="28"/>
        </w:rPr>
        <w:t xml:space="preserve"> 1</w:t>
      </w:r>
      <w:r w:rsidR="0047289F">
        <w:rPr>
          <w:rFonts w:ascii="Times New Roman" w:hAnsi="Times New Roman" w:cs="Times New Roman"/>
          <w:sz w:val="28"/>
          <w:szCs w:val="28"/>
        </w:rPr>
        <w:t>.</w:t>
      </w:r>
    </w:p>
    <w:p w:rsidR="0019191B" w:rsidRPr="00816DF6" w:rsidRDefault="0019191B" w:rsidP="00816DF6">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47289F" w:rsidRDefault="0047289F"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47289F">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0F4B80">
        <w:rPr>
          <w:rFonts w:ascii="Times New Roman" w:eastAsia="Times New Roman" w:hAnsi="Times New Roman" w:cs="Times New Roman"/>
          <w:sz w:val="28"/>
          <w:szCs w:val="28"/>
        </w:rPr>
        <w:t xml:space="preserve">Затвердити </w:t>
      </w:r>
      <w:r w:rsidR="00275FFC">
        <w:rPr>
          <w:rFonts w:ascii="Times New Roman" w:eastAsia="Times New Roman" w:hAnsi="Times New Roman" w:cs="Times New Roman"/>
          <w:sz w:val="28"/>
          <w:szCs w:val="28"/>
        </w:rPr>
        <w:t>норму надання послуг з вивезення будівельних (ремонтних) відходів в житловому секторі на рівні 0,117 м³/рік на одну людину.</w:t>
      </w:r>
    </w:p>
    <w:p w:rsidR="0019191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275FFC" w:rsidRDefault="00275FFC"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Pr="00275FFC">
        <w:rPr>
          <w:rFonts w:ascii="Times New Roman" w:eastAsia="Times New Roman" w:hAnsi="Times New Roman" w:cs="Times New Roman"/>
          <w:sz w:val="28"/>
          <w:szCs w:val="28"/>
        </w:rPr>
        <w:t>Затвердити норму надання послуг</w:t>
      </w:r>
      <w:r>
        <w:rPr>
          <w:rFonts w:ascii="Times New Roman" w:eastAsia="Times New Roman" w:hAnsi="Times New Roman" w:cs="Times New Roman"/>
          <w:sz w:val="28"/>
          <w:szCs w:val="28"/>
        </w:rPr>
        <w:t xml:space="preserve"> з вивезення великогабаритних відходів в житловому секторі на рівні 0,264 м³/рік на одну людину.</w:t>
      </w:r>
    </w:p>
    <w:p w:rsidR="0019191B" w:rsidRDefault="0019191B"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275FFC" w:rsidRDefault="00275FFC"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275FFC">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Затвердити норму надання послуг з вивезення сміття (</w:t>
      </w:r>
      <w:proofErr w:type="spellStart"/>
      <w:r>
        <w:rPr>
          <w:rFonts w:ascii="Times New Roman" w:eastAsia="Times New Roman" w:hAnsi="Times New Roman" w:cs="Times New Roman"/>
          <w:sz w:val="28"/>
          <w:szCs w:val="28"/>
        </w:rPr>
        <w:t>змет</w:t>
      </w:r>
      <w:proofErr w:type="spellEnd"/>
      <w:r>
        <w:rPr>
          <w:rFonts w:ascii="Times New Roman" w:eastAsia="Times New Roman" w:hAnsi="Times New Roman" w:cs="Times New Roman"/>
          <w:sz w:val="28"/>
          <w:szCs w:val="28"/>
        </w:rPr>
        <w:t>) з удосконаленого покриття доріг та площ на 1 м</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на рівні 5-15 кг/рік або 0,008-0,025 м³/рік.</w:t>
      </w:r>
    </w:p>
    <w:p w:rsidR="0019191B" w:rsidRDefault="0019191B"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47289F" w:rsidRDefault="00275FFC"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47289F" w:rsidRPr="0047289F">
        <w:rPr>
          <w:rFonts w:ascii="Times New Roman" w:eastAsia="Times New Roman" w:hAnsi="Times New Roman" w:cs="Times New Roman"/>
          <w:b/>
          <w:sz w:val="28"/>
          <w:szCs w:val="28"/>
        </w:rPr>
        <w:t xml:space="preserve">. </w:t>
      </w:r>
      <w:r w:rsidR="000F4B80">
        <w:rPr>
          <w:rFonts w:ascii="Times New Roman" w:eastAsia="Times New Roman" w:hAnsi="Times New Roman" w:cs="Times New Roman"/>
          <w:sz w:val="28"/>
          <w:szCs w:val="28"/>
        </w:rPr>
        <w:t xml:space="preserve">Затвердити норму надання послуг з вивезення рідких побутових відходів для будинків, не підключених до </w:t>
      </w:r>
      <w:r w:rsidR="008E3444">
        <w:rPr>
          <w:rFonts w:ascii="Times New Roman" w:eastAsia="Times New Roman" w:hAnsi="Times New Roman" w:cs="Times New Roman"/>
          <w:sz w:val="28"/>
          <w:szCs w:val="28"/>
        </w:rPr>
        <w:t>системи каналізації, на рівні                    25</w:t>
      </w:r>
      <w:r w:rsidR="000F4B80">
        <w:rPr>
          <w:rFonts w:ascii="Times New Roman" w:eastAsia="Times New Roman" w:hAnsi="Times New Roman" w:cs="Times New Roman"/>
          <w:sz w:val="28"/>
          <w:szCs w:val="28"/>
        </w:rPr>
        <w:t xml:space="preserve"> літрів на добу на одну людину.</w:t>
      </w:r>
    </w:p>
    <w:p w:rsidR="0019191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863977" w:rsidRDefault="00863977"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863977">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Затвердити </w:t>
      </w:r>
      <w:r w:rsidR="00043644">
        <w:rPr>
          <w:rFonts w:ascii="Times New Roman" w:eastAsia="Times New Roman" w:hAnsi="Times New Roman" w:cs="Times New Roman"/>
          <w:sz w:val="28"/>
          <w:szCs w:val="28"/>
        </w:rPr>
        <w:t>норму утворення рослинних відходів згідно додатку 2.</w:t>
      </w:r>
    </w:p>
    <w:p w:rsidR="0019191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043644" w:rsidRDefault="00043644"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44645B">
        <w:rPr>
          <w:rFonts w:ascii="Times New Roman" w:eastAsia="Times New Roman" w:hAnsi="Times New Roman" w:cs="Times New Roman"/>
          <w:b/>
          <w:sz w:val="28"/>
          <w:szCs w:val="28"/>
        </w:rPr>
        <w:t xml:space="preserve">7. </w:t>
      </w:r>
      <w:r w:rsidR="00D36406">
        <w:rPr>
          <w:rFonts w:ascii="Times New Roman" w:eastAsia="Times New Roman" w:hAnsi="Times New Roman" w:cs="Times New Roman"/>
          <w:sz w:val="28"/>
          <w:szCs w:val="28"/>
        </w:rPr>
        <w:t>Вважати таким</w:t>
      </w:r>
      <w:r w:rsidR="0044645B" w:rsidRPr="0044645B">
        <w:rPr>
          <w:rFonts w:ascii="Times New Roman" w:eastAsia="Times New Roman" w:hAnsi="Times New Roman" w:cs="Times New Roman"/>
          <w:sz w:val="28"/>
          <w:szCs w:val="28"/>
        </w:rPr>
        <w:t xml:space="preserve">, що </w:t>
      </w:r>
      <w:r w:rsidR="00D36406">
        <w:rPr>
          <w:rFonts w:ascii="Times New Roman" w:eastAsia="Times New Roman" w:hAnsi="Times New Roman" w:cs="Times New Roman"/>
          <w:sz w:val="28"/>
          <w:szCs w:val="28"/>
        </w:rPr>
        <w:t>втратило</w:t>
      </w:r>
      <w:r w:rsidR="0044645B">
        <w:rPr>
          <w:rFonts w:ascii="Times New Roman" w:eastAsia="Times New Roman" w:hAnsi="Times New Roman" w:cs="Times New Roman"/>
          <w:sz w:val="28"/>
          <w:szCs w:val="28"/>
        </w:rPr>
        <w:t xml:space="preserve"> чинність рішення виконавчого комітету Сумської міської ради</w:t>
      </w:r>
      <w:r w:rsidR="00503476">
        <w:rPr>
          <w:rFonts w:ascii="Times New Roman" w:eastAsia="Times New Roman" w:hAnsi="Times New Roman" w:cs="Times New Roman"/>
          <w:sz w:val="28"/>
          <w:szCs w:val="28"/>
        </w:rPr>
        <w:t xml:space="preserve"> від 19.11.2013 № 591</w:t>
      </w:r>
      <w:r w:rsidR="0044645B">
        <w:rPr>
          <w:rFonts w:ascii="Times New Roman" w:eastAsia="Times New Roman" w:hAnsi="Times New Roman" w:cs="Times New Roman"/>
          <w:sz w:val="28"/>
          <w:szCs w:val="28"/>
        </w:rPr>
        <w:t xml:space="preserve"> </w:t>
      </w:r>
      <w:r w:rsidR="00503476">
        <w:rPr>
          <w:rFonts w:ascii="Times New Roman" w:eastAsia="Times New Roman" w:hAnsi="Times New Roman" w:cs="Times New Roman"/>
          <w:sz w:val="28"/>
          <w:szCs w:val="28"/>
        </w:rPr>
        <w:t>«Про затвердження норм надання послуг з вивезення твердих побутових відходів в місті Суми» (зі змінами).</w:t>
      </w:r>
    </w:p>
    <w:p w:rsidR="0019191B" w:rsidRPr="0044645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FA1D98" w:rsidRDefault="002927C7" w:rsidP="002B681B">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ru-RU"/>
        </w:rPr>
        <w:t>8</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2D778B">
        <w:rPr>
          <w:rFonts w:ascii="Times New Roman" w:eastAsia="Times New Roman" w:hAnsi="Times New Roman" w:cs="Times New Roman"/>
          <w:iCs/>
          <w:sz w:val="28"/>
          <w:szCs w:val="28"/>
          <w:lang w:eastAsia="ru-RU"/>
        </w:rPr>
        <w:t xml:space="preserve">в </w:t>
      </w:r>
      <w:r w:rsidR="00FA1D98" w:rsidRPr="00FA1D98">
        <w:rPr>
          <w:rFonts w:ascii="Times New Roman" w:eastAsia="Times New Roman" w:hAnsi="Times New Roman" w:cs="Times New Roman"/>
          <w:iCs/>
          <w:sz w:val="28"/>
          <w:szCs w:val="28"/>
          <w:lang w:eastAsia="ru-RU"/>
        </w:rPr>
        <w:t xml:space="preserve">місцевому </w:t>
      </w:r>
      <w:r w:rsidR="00FA1D98" w:rsidRPr="00FA1D98">
        <w:rPr>
          <w:rFonts w:ascii="Times New Roman" w:eastAsia="Calibri" w:hAnsi="Times New Roman" w:cs="Times New Roman"/>
          <w:sz w:val="28"/>
          <w:szCs w:val="28"/>
          <w:lang w:eastAsia="en-US"/>
        </w:rPr>
        <w:t>друков</w:t>
      </w:r>
      <w:r w:rsidR="00FA1D98">
        <w:rPr>
          <w:rFonts w:ascii="Times New Roman" w:eastAsia="Calibri" w:hAnsi="Times New Roman" w:cs="Times New Roman"/>
          <w:sz w:val="28"/>
          <w:szCs w:val="28"/>
          <w:lang w:eastAsia="en-US"/>
        </w:rPr>
        <w:t>аному засобі масової інформації.</w:t>
      </w:r>
    </w:p>
    <w:p w:rsidR="0019191B" w:rsidRPr="00FA1D98" w:rsidRDefault="0019191B" w:rsidP="002B681B">
      <w:pPr>
        <w:pStyle w:val="a5"/>
        <w:spacing w:after="0" w:line="240" w:lineRule="auto"/>
        <w:ind w:left="0" w:firstLine="708"/>
        <w:jc w:val="both"/>
        <w:rPr>
          <w:rFonts w:ascii="Times New Roman" w:eastAsia="Times New Roman" w:hAnsi="Times New Roman" w:cs="Times New Roman"/>
          <w:iCs/>
          <w:sz w:val="28"/>
          <w:szCs w:val="28"/>
          <w:lang w:eastAsia="ru-RU"/>
        </w:rPr>
      </w:pPr>
    </w:p>
    <w:p w:rsidR="00FA1D98" w:rsidRDefault="002927C7" w:rsidP="002B681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002B681B" w:rsidRPr="00E94ACC">
        <w:rPr>
          <w:rFonts w:ascii="Times New Roman" w:eastAsia="Times New Roman" w:hAnsi="Times New Roman" w:cs="Times New Roman"/>
          <w:b/>
          <w:sz w:val="28"/>
          <w:szCs w:val="28"/>
          <w:lang w:eastAsia="ru-RU"/>
        </w:rPr>
        <w:t>.</w:t>
      </w:r>
      <w:r w:rsidR="002B681B">
        <w:rPr>
          <w:rFonts w:ascii="Times New Roman" w:eastAsia="Times New Roman" w:hAnsi="Times New Roman" w:cs="Times New Roman"/>
          <w:sz w:val="28"/>
          <w:szCs w:val="28"/>
          <w:lang w:eastAsia="ru-RU"/>
        </w:rPr>
        <w:t> </w:t>
      </w:r>
      <w:r w:rsidR="00286B14" w:rsidRPr="00286B14">
        <w:rPr>
          <w:rFonts w:ascii="Times New Roman" w:eastAsia="Times New Roman" w:hAnsi="Times New Roman" w:cs="Times New Roman"/>
          <w:sz w:val="28"/>
          <w:szCs w:val="28"/>
          <w:lang w:eastAsia="ru-RU"/>
        </w:rPr>
        <w:t xml:space="preserve">Відділу протокольної роботи та контролю Сумської міської ради </w:t>
      </w:r>
      <w:r w:rsidR="00286B14" w:rsidRPr="00286B14">
        <w:rPr>
          <w:rFonts w:ascii="Times New Roman" w:eastAsia="Times New Roman" w:hAnsi="Times New Roman" w:cs="Times New Roman"/>
          <w:sz w:val="28"/>
          <w:szCs w:val="28"/>
          <w:lang w:eastAsia="ru-RU"/>
        </w:rPr>
        <w:br/>
        <w:t>(</w:t>
      </w:r>
      <w:proofErr w:type="spellStart"/>
      <w:r w:rsidR="002A5B09">
        <w:rPr>
          <w:rFonts w:ascii="Times New Roman" w:eastAsia="Times New Roman" w:hAnsi="Times New Roman" w:cs="Times New Roman"/>
          <w:sz w:val="28"/>
          <w:szCs w:val="28"/>
          <w:lang w:eastAsia="ru-RU"/>
        </w:rPr>
        <w:t>Моша</w:t>
      </w:r>
      <w:proofErr w:type="spellEnd"/>
      <w:r w:rsidR="002A5B09">
        <w:rPr>
          <w:rFonts w:ascii="Times New Roman" w:eastAsia="Times New Roman" w:hAnsi="Times New Roman" w:cs="Times New Roman"/>
          <w:sz w:val="28"/>
          <w:szCs w:val="28"/>
          <w:lang w:eastAsia="ru-RU"/>
        </w:rPr>
        <w:t xml:space="preserve"> Л.В.) розмістити дане рішення на офіційному </w:t>
      </w:r>
      <w:proofErr w:type="spellStart"/>
      <w:r w:rsidR="002A5B09">
        <w:rPr>
          <w:rFonts w:ascii="Times New Roman" w:eastAsia="Times New Roman" w:hAnsi="Times New Roman" w:cs="Times New Roman"/>
          <w:sz w:val="28"/>
          <w:szCs w:val="28"/>
          <w:lang w:eastAsia="ru-RU"/>
        </w:rPr>
        <w:t>веб</w:t>
      </w:r>
      <w:r w:rsidR="00286B14" w:rsidRPr="00286B14">
        <w:rPr>
          <w:rFonts w:ascii="Times New Roman" w:eastAsia="Times New Roman" w:hAnsi="Times New Roman" w:cs="Times New Roman"/>
          <w:sz w:val="28"/>
          <w:szCs w:val="28"/>
          <w:lang w:eastAsia="ru-RU"/>
        </w:rPr>
        <w:t>сайті</w:t>
      </w:r>
      <w:proofErr w:type="spellEnd"/>
      <w:r w:rsidR="00286B14" w:rsidRPr="00286B14">
        <w:rPr>
          <w:rFonts w:ascii="Times New Roman" w:eastAsia="Times New Roman" w:hAnsi="Times New Roman" w:cs="Times New Roman"/>
          <w:sz w:val="28"/>
          <w:szCs w:val="28"/>
          <w:lang w:eastAsia="ru-RU"/>
        </w:rPr>
        <w:t xml:space="preserve"> Сумської міської ради.</w:t>
      </w:r>
    </w:p>
    <w:p w:rsidR="0019191B" w:rsidRPr="00FA1D98" w:rsidRDefault="0019191B" w:rsidP="002B681B">
      <w:pPr>
        <w:pStyle w:val="a5"/>
        <w:spacing w:after="0" w:line="240" w:lineRule="auto"/>
        <w:ind w:left="0" w:firstLine="709"/>
        <w:jc w:val="both"/>
        <w:rPr>
          <w:rFonts w:ascii="Times New Roman" w:eastAsia="Batang" w:hAnsi="Times New Roman" w:cs="Times New Roman"/>
          <w:bCs/>
          <w:color w:val="000000"/>
          <w:sz w:val="28"/>
          <w:szCs w:val="28"/>
        </w:rPr>
      </w:pPr>
    </w:p>
    <w:p w:rsidR="00EC1686" w:rsidRDefault="002927C7" w:rsidP="00EC1686">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EC1686" w:rsidRPr="00EC1686">
        <w:rPr>
          <w:rFonts w:ascii="Times New Roman" w:eastAsia="Times New Roman" w:hAnsi="Times New Roman" w:cs="Times New Roman"/>
          <w:b/>
          <w:sz w:val="28"/>
          <w:szCs w:val="28"/>
        </w:rPr>
        <w:t>.</w:t>
      </w:r>
      <w:r w:rsidR="00EC1686">
        <w:rPr>
          <w:rFonts w:ascii="Times New Roman" w:eastAsia="Times New Roman" w:hAnsi="Times New Roman" w:cs="Times New Roman"/>
          <w:sz w:val="28"/>
          <w:szCs w:val="28"/>
        </w:rPr>
        <w:t xml:space="preserve"> </w:t>
      </w:r>
      <w:r w:rsidR="00EC1686" w:rsidRPr="00FA1D98">
        <w:rPr>
          <w:rFonts w:ascii="Times New Roman" w:eastAsia="Times New Roman" w:hAnsi="Times New Roman" w:cs="Times New Roman"/>
          <w:sz w:val="28"/>
          <w:szCs w:val="28"/>
        </w:rPr>
        <w:t>Рішення вступає в силу з моменту його оприлюднення</w:t>
      </w:r>
      <w:r w:rsidR="00EC1686">
        <w:rPr>
          <w:rFonts w:ascii="Times New Roman" w:eastAsia="Times New Roman" w:hAnsi="Times New Roman" w:cs="Times New Roman"/>
          <w:sz w:val="28"/>
          <w:szCs w:val="28"/>
        </w:rPr>
        <w:t>.</w:t>
      </w:r>
      <w:r w:rsidR="00EC1686" w:rsidRPr="00FA1D98">
        <w:rPr>
          <w:rFonts w:ascii="Times New Roman" w:eastAsia="Times New Roman" w:hAnsi="Times New Roman" w:cs="Times New Roman"/>
          <w:sz w:val="28"/>
          <w:szCs w:val="28"/>
        </w:rPr>
        <w:t xml:space="preserve"> </w:t>
      </w:r>
    </w:p>
    <w:p w:rsidR="0019191B" w:rsidRDefault="0019191B" w:rsidP="00EC1686">
      <w:pPr>
        <w:pStyle w:val="a5"/>
        <w:spacing w:after="0" w:line="240" w:lineRule="auto"/>
        <w:ind w:left="0" w:firstLine="709"/>
        <w:jc w:val="both"/>
        <w:rPr>
          <w:rFonts w:ascii="Times New Roman" w:eastAsia="Times New Roman" w:hAnsi="Times New Roman" w:cs="Times New Roman"/>
          <w:sz w:val="28"/>
          <w:szCs w:val="28"/>
        </w:rPr>
      </w:pPr>
    </w:p>
    <w:p w:rsidR="0082225A" w:rsidRDefault="002927C7"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82225A">
        <w:rPr>
          <w:rFonts w:ascii="Times New Roman" w:eastAsia="Times New Roman" w:hAnsi="Times New Roman" w:cs="Times New Roman"/>
          <w:sz w:val="28"/>
          <w:szCs w:val="28"/>
        </w:rPr>
        <w:t xml:space="preserve">Організацію виконання даного рішення покласти на </w:t>
      </w:r>
      <w:r w:rsidR="00FB6A8E">
        <w:rPr>
          <w:rFonts w:ascii="Times New Roman" w:eastAsia="Times New Roman" w:hAnsi="Times New Roman" w:cs="Times New Roman"/>
          <w:sz w:val="28"/>
          <w:szCs w:val="28"/>
        </w:rPr>
        <w:t>Д</w:t>
      </w:r>
      <w:r w:rsidR="0019191B">
        <w:rPr>
          <w:rFonts w:ascii="Times New Roman" w:eastAsia="Times New Roman" w:hAnsi="Times New Roman" w:cs="Times New Roman"/>
          <w:sz w:val="28"/>
          <w:szCs w:val="28"/>
        </w:rPr>
        <w:t>епартамент інфраструктури міста Сумської міської ради (Журба О.І.)</w:t>
      </w:r>
      <w:r w:rsidR="0082225A">
        <w:rPr>
          <w:rFonts w:ascii="Times New Roman" w:eastAsia="Times New Roman" w:hAnsi="Times New Roman" w:cs="Times New Roman"/>
          <w:sz w:val="28"/>
          <w:szCs w:val="28"/>
        </w:rPr>
        <w:t>.</w:t>
      </w:r>
    </w:p>
    <w:p w:rsidR="0019191B" w:rsidRDefault="0019191B" w:rsidP="00F21A54">
      <w:pPr>
        <w:pStyle w:val="a5"/>
        <w:spacing w:after="0" w:line="240" w:lineRule="auto"/>
        <w:ind w:left="0" w:firstLine="709"/>
        <w:jc w:val="both"/>
        <w:rPr>
          <w:rFonts w:ascii="Times New Roman" w:eastAsia="Times New Roman" w:hAnsi="Times New Roman" w:cs="Times New Roman"/>
          <w:sz w:val="28"/>
          <w:szCs w:val="28"/>
        </w:rPr>
      </w:pPr>
    </w:p>
    <w:p w:rsidR="0019191B" w:rsidRDefault="0019191B" w:rsidP="00F21A54">
      <w:pPr>
        <w:pStyle w:val="a5"/>
        <w:spacing w:after="0" w:line="240" w:lineRule="auto"/>
        <w:ind w:left="0" w:firstLine="709"/>
        <w:jc w:val="both"/>
        <w:rPr>
          <w:rFonts w:ascii="Times New Roman" w:eastAsia="Times New Roman" w:hAnsi="Times New Roman" w:cs="Times New Roman"/>
          <w:sz w:val="28"/>
          <w:szCs w:val="28"/>
        </w:rPr>
      </w:pPr>
      <w:r w:rsidRPr="0019191B">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Контроль за виконанням даного рішення залишаю за собою.</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D355D"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М</w:t>
      </w:r>
      <w:r w:rsidR="000656DD">
        <w:rPr>
          <w:rFonts w:ascii="Times New Roman" w:eastAsia="Batang" w:hAnsi="Times New Roman" w:cs="Times New Roman"/>
          <w:b/>
          <w:bCs/>
          <w:color w:val="000000"/>
          <w:sz w:val="28"/>
          <w:szCs w:val="28"/>
          <w:lang w:eastAsia="ru-RU"/>
        </w:rPr>
        <w:t xml:space="preserve">іський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19191B"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r w:rsidR="00026D7B">
        <w:rPr>
          <w:rFonts w:ascii="Times New Roman" w:eastAsia="Batang" w:hAnsi="Times New Roman" w:cs="Times New Roman"/>
          <w:color w:val="000000"/>
          <w:sz w:val="24"/>
          <w:szCs w:val="20"/>
          <w:lang w:eastAsia="ru-RU"/>
        </w:rPr>
        <w:t xml:space="preserve"> </w:t>
      </w:r>
    </w:p>
    <w:p w:rsidR="00FF6B3B" w:rsidRPr="00816DF6" w:rsidRDefault="009F36DE" w:rsidP="000656DD">
      <w:pPr>
        <w:spacing w:after="0" w:line="240" w:lineRule="auto"/>
        <w:rPr>
          <w:rFonts w:ascii="Calibri" w:eastAsia="Calibri" w:hAnsi="Calibri" w:cs="Times New Roman"/>
          <w:lang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EF56"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19191B">
        <w:rPr>
          <w:rFonts w:ascii="Times New Roman" w:eastAsia="Times New Roman" w:hAnsi="Times New Roman" w:cs="Times New Roman"/>
          <w:sz w:val="24"/>
          <w:szCs w:val="24"/>
          <w:lang w:eastAsia="ru-RU"/>
        </w:rPr>
        <w:t xml:space="preserve">Розіслати: Журба О.І., </w:t>
      </w:r>
      <w:proofErr w:type="spellStart"/>
      <w:r w:rsidR="0019191B">
        <w:rPr>
          <w:rFonts w:ascii="Times New Roman" w:eastAsia="Times New Roman" w:hAnsi="Times New Roman" w:cs="Times New Roman"/>
          <w:sz w:val="24"/>
          <w:szCs w:val="24"/>
          <w:lang w:eastAsia="ru-RU"/>
        </w:rPr>
        <w:t>Здєльнік</w:t>
      </w:r>
      <w:proofErr w:type="spellEnd"/>
      <w:r w:rsidR="0019191B">
        <w:rPr>
          <w:rFonts w:ascii="Times New Roman" w:eastAsia="Times New Roman" w:hAnsi="Times New Roman" w:cs="Times New Roman"/>
          <w:sz w:val="24"/>
          <w:szCs w:val="24"/>
          <w:lang w:eastAsia="ru-RU"/>
        </w:rPr>
        <w:t xml:space="preserve"> Б.А., Олійник О.С., </w:t>
      </w:r>
      <w:proofErr w:type="spellStart"/>
      <w:r w:rsidR="0019191B">
        <w:rPr>
          <w:rFonts w:ascii="Times New Roman" w:eastAsia="Times New Roman" w:hAnsi="Times New Roman" w:cs="Times New Roman"/>
          <w:sz w:val="24"/>
          <w:szCs w:val="24"/>
          <w:lang w:eastAsia="ru-RU"/>
        </w:rPr>
        <w:t>Цапенко</w:t>
      </w:r>
      <w:proofErr w:type="spellEnd"/>
      <w:r w:rsidR="0019191B">
        <w:rPr>
          <w:rFonts w:ascii="Times New Roman" w:eastAsia="Times New Roman" w:hAnsi="Times New Roman" w:cs="Times New Roman"/>
          <w:sz w:val="24"/>
          <w:szCs w:val="24"/>
          <w:lang w:eastAsia="ru-RU"/>
        </w:rPr>
        <w:t xml:space="preserve"> Р.М.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57"/>
      </w:tblGrid>
      <w:tr w:rsidR="00977F03" w:rsidTr="00AC6BE7">
        <w:tc>
          <w:tcPr>
            <w:tcW w:w="4219" w:type="dxa"/>
          </w:tcPr>
          <w:p w:rsidR="00977F03" w:rsidRDefault="00977F03" w:rsidP="00977F03">
            <w:pPr>
              <w:jc w:val="center"/>
            </w:pPr>
          </w:p>
        </w:tc>
        <w:tc>
          <w:tcPr>
            <w:tcW w:w="4857" w:type="dxa"/>
          </w:tcPr>
          <w:p w:rsidR="002A5B09" w:rsidRDefault="002A5B09" w:rsidP="00977F03">
            <w:pPr>
              <w:ind w:firstLine="567"/>
              <w:rPr>
                <w:sz w:val="28"/>
                <w:szCs w:val="28"/>
              </w:rPr>
            </w:pPr>
          </w:p>
          <w:p w:rsidR="004470AB" w:rsidRDefault="004470AB" w:rsidP="00977F03">
            <w:pPr>
              <w:ind w:firstLine="567"/>
              <w:rPr>
                <w:sz w:val="28"/>
                <w:szCs w:val="28"/>
              </w:rPr>
            </w:pPr>
          </w:p>
          <w:p w:rsidR="004470AB" w:rsidRDefault="004470AB" w:rsidP="00977F03">
            <w:pPr>
              <w:ind w:firstLine="567"/>
              <w:rPr>
                <w:sz w:val="28"/>
                <w:szCs w:val="28"/>
              </w:rPr>
            </w:pPr>
          </w:p>
          <w:p w:rsidR="00977F03" w:rsidRPr="00977F03" w:rsidRDefault="00977F03" w:rsidP="00977F03">
            <w:pPr>
              <w:ind w:firstLine="567"/>
              <w:rPr>
                <w:sz w:val="28"/>
                <w:szCs w:val="28"/>
              </w:rPr>
            </w:pPr>
            <w:r w:rsidRPr="00977F03">
              <w:rPr>
                <w:sz w:val="28"/>
                <w:szCs w:val="28"/>
              </w:rPr>
              <w:lastRenderedPageBreak/>
              <w:t>Додаток</w:t>
            </w:r>
            <w:r w:rsidR="00043644">
              <w:rPr>
                <w:sz w:val="28"/>
                <w:szCs w:val="28"/>
              </w:rPr>
              <w:t xml:space="preserve"> 1</w:t>
            </w:r>
          </w:p>
          <w:p w:rsidR="00977F03" w:rsidRPr="00977F03" w:rsidRDefault="00977F03" w:rsidP="00977F03">
            <w:pPr>
              <w:ind w:firstLine="567"/>
              <w:rPr>
                <w:sz w:val="28"/>
                <w:szCs w:val="28"/>
              </w:rPr>
            </w:pPr>
            <w:r w:rsidRPr="00977F03">
              <w:rPr>
                <w:sz w:val="28"/>
                <w:szCs w:val="28"/>
              </w:rPr>
              <w:t xml:space="preserve">до рішення </w:t>
            </w:r>
            <w:r w:rsidR="002A5B09">
              <w:rPr>
                <w:sz w:val="28"/>
                <w:szCs w:val="28"/>
              </w:rPr>
              <w:t>В</w:t>
            </w:r>
            <w:r w:rsidRPr="00977F03">
              <w:rPr>
                <w:sz w:val="28"/>
                <w:szCs w:val="28"/>
              </w:rPr>
              <w:t>иконавчого комітету</w:t>
            </w:r>
          </w:p>
          <w:p w:rsidR="00977F03" w:rsidRPr="00977F03" w:rsidRDefault="00977F03" w:rsidP="00977F03">
            <w:pPr>
              <w:ind w:firstLine="567"/>
              <w:rPr>
                <w:sz w:val="28"/>
                <w:szCs w:val="28"/>
              </w:rPr>
            </w:pPr>
            <w:r w:rsidRPr="00977F03">
              <w:rPr>
                <w:sz w:val="28"/>
                <w:szCs w:val="28"/>
              </w:rPr>
              <w:t xml:space="preserve">Сумської міської ради </w:t>
            </w:r>
          </w:p>
          <w:p w:rsidR="00977F03" w:rsidRPr="00BC769E" w:rsidRDefault="00977F03" w:rsidP="00977F03">
            <w:pPr>
              <w:ind w:firstLine="567"/>
              <w:rPr>
                <w:sz w:val="28"/>
                <w:szCs w:val="28"/>
              </w:rPr>
            </w:pPr>
            <w:r w:rsidRPr="00BC769E">
              <w:rPr>
                <w:sz w:val="28"/>
                <w:szCs w:val="28"/>
              </w:rPr>
              <w:t xml:space="preserve">від </w:t>
            </w:r>
            <w:r w:rsidR="00BC769E">
              <w:rPr>
                <w:sz w:val="28"/>
                <w:szCs w:val="28"/>
              </w:rPr>
              <w:t>29.04.2020</w:t>
            </w:r>
            <w:r w:rsidRPr="00BC769E">
              <w:rPr>
                <w:sz w:val="28"/>
                <w:szCs w:val="28"/>
              </w:rPr>
              <w:t xml:space="preserve"> </w:t>
            </w:r>
            <w:r w:rsidR="00BC769E">
              <w:rPr>
                <w:sz w:val="28"/>
                <w:szCs w:val="28"/>
              </w:rPr>
              <w:t xml:space="preserve">  </w:t>
            </w:r>
            <w:r w:rsidRPr="00BC769E">
              <w:rPr>
                <w:sz w:val="28"/>
                <w:szCs w:val="28"/>
              </w:rPr>
              <w:t>№</w:t>
            </w:r>
            <w:r w:rsidR="00BC769E">
              <w:rPr>
                <w:sz w:val="28"/>
                <w:szCs w:val="28"/>
              </w:rPr>
              <w:t xml:space="preserve"> 222</w:t>
            </w:r>
          </w:p>
          <w:p w:rsidR="00977F03" w:rsidRDefault="00977F03" w:rsidP="00977F03">
            <w:pPr>
              <w:jc w:val="center"/>
            </w:pPr>
          </w:p>
        </w:tc>
      </w:tr>
    </w:tbl>
    <w:p w:rsidR="00977F03" w:rsidRPr="00977F03" w:rsidRDefault="00977F03" w:rsidP="00977F03">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lastRenderedPageBreak/>
        <w:t xml:space="preserve">Норми </w:t>
      </w:r>
    </w:p>
    <w:p w:rsidR="00977F03" w:rsidRPr="00977F03" w:rsidRDefault="00977F03" w:rsidP="00977F03">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надання послуг з вивезення твердих побутових відходів, що утворюються на території Сумської міської об’єднаної територіальної громади</w:t>
      </w:r>
    </w:p>
    <w:p w:rsidR="00977F03" w:rsidRDefault="00977F03" w:rsidP="00977F03">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 xml:space="preserve"> на 2020 – 2024</w:t>
      </w:r>
      <w:r>
        <w:rPr>
          <w:rFonts w:ascii="Times New Roman" w:hAnsi="Times New Roman" w:cs="Times New Roman"/>
          <w:sz w:val="28"/>
          <w:szCs w:val="28"/>
        </w:rPr>
        <w:t xml:space="preserve"> роки</w:t>
      </w:r>
    </w:p>
    <w:p w:rsidR="00AC6BE7" w:rsidRPr="00977F03" w:rsidRDefault="00AC6BE7" w:rsidP="00977F03">
      <w:pPr>
        <w:spacing w:after="0" w:line="240" w:lineRule="auto"/>
        <w:ind w:firstLine="567"/>
        <w:jc w:val="center"/>
        <w:rPr>
          <w:rFonts w:ascii="Times New Roman" w:hAnsi="Times New Roman" w:cs="Times New Roman"/>
          <w:b/>
          <w:sz w:val="28"/>
          <w:szCs w:val="28"/>
          <w:lang w:val="ru-RU"/>
        </w:rPr>
      </w:pPr>
    </w:p>
    <w:tbl>
      <w:tblPr>
        <w:tblStyle w:val="a8"/>
        <w:tblW w:w="9987" w:type="dxa"/>
        <w:tblInd w:w="-318" w:type="dxa"/>
        <w:tblLayout w:type="fixed"/>
        <w:tblLook w:val="01E0" w:firstRow="1" w:lastRow="1" w:firstColumn="1" w:lastColumn="1" w:noHBand="0" w:noVBand="0"/>
      </w:tblPr>
      <w:tblGrid>
        <w:gridCol w:w="533"/>
        <w:gridCol w:w="2162"/>
        <w:gridCol w:w="1808"/>
        <w:gridCol w:w="850"/>
        <w:gridCol w:w="885"/>
        <w:gridCol w:w="1276"/>
        <w:gridCol w:w="1133"/>
        <w:gridCol w:w="17"/>
        <w:gridCol w:w="1306"/>
        <w:gridCol w:w="17"/>
      </w:tblGrid>
      <w:tr w:rsidR="00977F03" w:rsidRPr="00AC6BE7" w:rsidTr="004470AB">
        <w:trPr>
          <w:trHeight w:val="225"/>
          <w:tblHead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AC6BE7" w:rsidRPr="00AC6BE7" w:rsidRDefault="00977F03" w:rsidP="00AE1CD4">
            <w:pPr>
              <w:tabs>
                <w:tab w:val="left" w:pos="1125"/>
              </w:tabs>
              <w:jc w:val="center"/>
              <w:rPr>
                <w:sz w:val="26"/>
                <w:szCs w:val="26"/>
              </w:rPr>
            </w:pPr>
            <w:r w:rsidRPr="00AC6BE7">
              <w:rPr>
                <w:sz w:val="26"/>
                <w:szCs w:val="26"/>
              </w:rPr>
              <w:t xml:space="preserve">№ </w:t>
            </w:r>
          </w:p>
          <w:p w:rsidR="00977F03" w:rsidRPr="00AC6BE7" w:rsidRDefault="00977F03" w:rsidP="00AE1CD4">
            <w:pPr>
              <w:tabs>
                <w:tab w:val="left" w:pos="1125"/>
              </w:tabs>
              <w:jc w:val="center"/>
              <w:rPr>
                <w:sz w:val="26"/>
                <w:szCs w:val="26"/>
              </w:rPr>
            </w:pPr>
            <w:r w:rsidRPr="00AC6BE7">
              <w:rPr>
                <w:sz w:val="26"/>
                <w:szCs w:val="26"/>
              </w:rPr>
              <w:t>з/п</w:t>
            </w:r>
          </w:p>
        </w:tc>
        <w:tc>
          <w:tcPr>
            <w:tcW w:w="2162" w:type="dxa"/>
            <w:vMerge w:val="restart"/>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Об'єкт утворення ТПВ</w:t>
            </w: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Розрахункова одиниця</w:t>
            </w:r>
          </w:p>
        </w:tc>
        <w:tc>
          <w:tcPr>
            <w:tcW w:w="4161" w:type="dxa"/>
            <w:gridSpan w:val="5"/>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vertAlign w:val="superscript"/>
              </w:rPr>
            </w:pPr>
            <w:r w:rsidRPr="00AC6BE7">
              <w:rPr>
                <w:sz w:val="26"/>
                <w:szCs w:val="26"/>
              </w:rPr>
              <w:t>Норма на одну розрахункову одиницю</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щільність</w:t>
            </w:r>
          </w:p>
        </w:tc>
      </w:tr>
      <w:tr w:rsidR="00977F03" w:rsidRPr="00AC6BE7" w:rsidTr="004470AB">
        <w:trPr>
          <w:gridAfter w:val="1"/>
          <w:wAfter w:w="17" w:type="dxa"/>
          <w:trHeight w:val="465"/>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jc w:val="center"/>
              <w:rPr>
                <w:sz w:val="26"/>
                <w:szCs w:val="26"/>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на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на місяць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на добу</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r>
      <w:tr w:rsidR="00977F03" w:rsidRPr="00AC6BE7" w:rsidTr="004470AB">
        <w:trPr>
          <w:gridAfter w:val="1"/>
          <w:wAfter w:w="17" w:type="dxa"/>
          <w:trHeight w:val="24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jc w:val="center"/>
              <w:rPr>
                <w:sz w:val="26"/>
                <w:szCs w:val="26"/>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vertAlign w:val="superscript"/>
              </w:rPr>
            </w:pPr>
            <w:r w:rsidRPr="00AC6BE7">
              <w:rPr>
                <w:sz w:val="26"/>
                <w:szCs w:val="26"/>
              </w:rPr>
              <w:t>м</w:t>
            </w:r>
            <w:r w:rsidRPr="00AC6BE7">
              <w:rPr>
                <w:sz w:val="26"/>
                <w:szCs w:val="26"/>
                <w:vertAlign w:val="superscript"/>
              </w:rPr>
              <w:t>3</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м</w:t>
            </w:r>
            <w:r w:rsidRPr="00AC6BE7">
              <w:rPr>
                <w:sz w:val="26"/>
                <w:szCs w:val="26"/>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л</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кг/м</w:t>
            </w:r>
            <w:r w:rsidRPr="00AC6BE7">
              <w:rPr>
                <w:sz w:val="26"/>
                <w:szCs w:val="26"/>
                <w:vertAlign w:val="superscript"/>
              </w:rPr>
              <w:t>3</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977F03" w:rsidRPr="002A5B09" w:rsidRDefault="002A5B09" w:rsidP="002A5B09">
            <w:pPr>
              <w:tabs>
                <w:tab w:val="left" w:pos="1125"/>
              </w:tabs>
              <w:rPr>
                <w:sz w:val="26"/>
                <w:szCs w:val="26"/>
              </w:rPr>
            </w:pPr>
            <w:r>
              <w:rPr>
                <w:sz w:val="26"/>
                <w:szCs w:val="26"/>
              </w:rPr>
              <w:t>1</w:t>
            </w:r>
          </w:p>
        </w:tc>
        <w:tc>
          <w:tcPr>
            <w:tcW w:w="2162"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color w:val="000000"/>
                <w:sz w:val="26"/>
                <w:szCs w:val="26"/>
              </w:rPr>
            </w:pPr>
            <w:r w:rsidRPr="00AC6BE7">
              <w:rPr>
                <w:color w:val="000000"/>
                <w:sz w:val="26"/>
                <w:szCs w:val="26"/>
              </w:rPr>
              <w:t>Житлові будинки багатоквартирні, одноквартирні упорядковані (з наявністю усіх видів благоустрою)</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мешканець</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en-US"/>
              </w:rPr>
            </w:pPr>
            <w:r w:rsidRPr="00AC6BE7">
              <w:rPr>
                <w:sz w:val="26"/>
                <w:szCs w:val="26"/>
                <w:lang w:val="en-US"/>
              </w:rPr>
              <w:t>1</w:t>
            </w:r>
            <w:r w:rsidRPr="00AC6BE7">
              <w:rPr>
                <w:sz w:val="26"/>
                <w:szCs w:val="26"/>
                <w:lang w:val="ru-RU"/>
              </w:rPr>
              <w:t>,</w:t>
            </w:r>
            <w:r w:rsidRPr="00AC6BE7">
              <w:rPr>
                <w:sz w:val="26"/>
                <w:szCs w:val="26"/>
                <w:lang w:val="en-US"/>
              </w:rPr>
              <w:t>558</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en-US"/>
              </w:rPr>
            </w:pPr>
            <w:r w:rsidRPr="00AC6BE7">
              <w:rPr>
                <w:sz w:val="26"/>
                <w:szCs w:val="26"/>
                <w:lang w:val="en-US"/>
              </w:rPr>
              <w:t>308</w:t>
            </w:r>
            <w:r w:rsidRPr="00AC6BE7">
              <w:rPr>
                <w:sz w:val="26"/>
                <w:szCs w:val="26"/>
              </w:rPr>
              <w:t>,</w:t>
            </w:r>
            <w:r w:rsidRPr="00AC6BE7">
              <w:rPr>
                <w:sz w:val="26"/>
                <w:szCs w:val="26"/>
                <w:lang w:val="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0,37</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12,24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ru-RU"/>
              </w:rPr>
            </w:pPr>
            <w:r w:rsidRPr="00AC6BE7">
              <w:rPr>
                <w:sz w:val="26"/>
                <w:szCs w:val="26"/>
                <w:lang w:val="ru-RU"/>
              </w:rPr>
              <w:t>198,3</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0"/>
                <w:tab w:val="left" w:pos="1125"/>
              </w:tabs>
              <w:rPr>
                <w:sz w:val="26"/>
                <w:szCs w:val="26"/>
              </w:rPr>
            </w:pPr>
            <w:r>
              <w:rPr>
                <w:sz w:val="26"/>
                <w:szCs w:val="26"/>
              </w:rPr>
              <w:t>2</w:t>
            </w:r>
          </w:p>
        </w:tc>
        <w:tc>
          <w:tcPr>
            <w:tcW w:w="2162"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r w:rsidRPr="00AC6BE7">
              <w:rPr>
                <w:sz w:val="26"/>
                <w:szCs w:val="26"/>
              </w:rPr>
              <w:t>Житлові будинки індивідуальної забудови (будинки приватного сектору), з присадибною ділянкою</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мешканець</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ru-RU"/>
              </w:rPr>
            </w:pPr>
            <w:r w:rsidRPr="00AC6BE7">
              <w:rPr>
                <w:sz w:val="26"/>
                <w:szCs w:val="26"/>
                <w:lang w:val="ru-RU"/>
              </w:rPr>
              <w:t>1,806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280,3</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0,44</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14,35</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lang w:val="ru-RU"/>
              </w:rPr>
            </w:pPr>
            <w:r w:rsidRPr="00AC6BE7">
              <w:rPr>
                <w:color w:val="000000"/>
                <w:sz w:val="26"/>
                <w:szCs w:val="26"/>
                <w:lang w:val="ru-RU"/>
              </w:rPr>
              <w:t>155,2</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3</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Готелі</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 xml:space="preserve"> 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0,729</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109,1</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0,18</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5,90</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149,7</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4</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Гуртожитки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0,196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25,8</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1,48</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133,3</w:t>
            </w:r>
          </w:p>
        </w:tc>
      </w:tr>
      <w:tr w:rsidR="002A5B09" w:rsidRPr="00AC6BE7" w:rsidTr="004470AB">
        <w:trPr>
          <w:gridAfter w:val="1"/>
          <w:wAfter w:w="17" w:type="dxa"/>
        </w:trPr>
        <w:tc>
          <w:tcPr>
            <w:tcW w:w="533" w:type="dxa"/>
            <w:vMerge w:val="restart"/>
            <w:tcBorders>
              <w:top w:val="single" w:sz="4" w:space="0" w:color="auto"/>
              <w:left w:val="single" w:sz="4" w:space="0" w:color="auto"/>
              <w:right w:val="single" w:sz="4" w:space="0" w:color="auto"/>
            </w:tcBorders>
            <w:vAlign w:val="center"/>
          </w:tcPr>
          <w:p w:rsidR="002A5B09" w:rsidRPr="002A5B09" w:rsidRDefault="002A5B09" w:rsidP="002A5B09">
            <w:pPr>
              <w:tabs>
                <w:tab w:val="left" w:pos="1125"/>
              </w:tabs>
              <w:rPr>
                <w:sz w:val="26"/>
                <w:szCs w:val="26"/>
              </w:rPr>
            </w:pPr>
            <w:r>
              <w:rPr>
                <w:sz w:val="26"/>
                <w:szCs w:val="26"/>
              </w:rPr>
              <w:t>5</w:t>
            </w:r>
          </w:p>
        </w:tc>
        <w:tc>
          <w:tcPr>
            <w:tcW w:w="2162"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rPr>
                <w:sz w:val="26"/>
                <w:szCs w:val="26"/>
              </w:rPr>
            </w:pPr>
            <w:r w:rsidRPr="00AC6BE7">
              <w:rPr>
                <w:sz w:val="26"/>
                <w:szCs w:val="26"/>
              </w:rPr>
              <w:t>Учбові заклади:</w:t>
            </w:r>
          </w:p>
          <w:p w:rsidR="002A5B09" w:rsidRPr="00AC6BE7" w:rsidRDefault="002A5B09" w:rsidP="00AE1CD4">
            <w:pPr>
              <w:rPr>
                <w:sz w:val="26"/>
                <w:szCs w:val="26"/>
              </w:rPr>
            </w:pPr>
            <w:r w:rsidRPr="00AC6BE7">
              <w:rPr>
                <w:sz w:val="26"/>
                <w:szCs w:val="26"/>
              </w:rPr>
              <w:t>- вищий та середній спеціальний навчальні заклади освіти</w:t>
            </w:r>
          </w:p>
        </w:tc>
        <w:tc>
          <w:tcPr>
            <w:tcW w:w="1808"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tabs>
                <w:tab w:val="left" w:pos="1125"/>
              </w:tabs>
              <w:jc w:val="center"/>
              <w:rPr>
                <w:sz w:val="26"/>
                <w:szCs w:val="26"/>
              </w:rPr>
            </w:pPr>
            <w:r w:rsidRPr="00AC6BE7">
              <w:rPr>
                <w:sz w:val="26"/>
                <w:szCs w:val="26"/>
              </w:rPr>
              <w:t>1 студент</w:t>
            </w:r>
          </w:p>
        </w:tc>
        <w:tc>
          <w:tcPr>
            <w:tcW w:w="850"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0,039</w:t>
            </w:r>
          </w:p>
        </w:tc>
        <w:tc>
          <w:tcPr>
            <w:tcW w:w="885"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5,8</w:t>
            </w:r>
          </w:p>
        </w:tc>
        <w:tc>
          <w:tcPr>
            <w:tcW w:w="1276"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sz w:val="26"/>
                <w:szCs w:val="26"/>
              </w:rPr>
            </w:pPr>
            <w:r w:rsidRPr="00AC6BE7">
              <w:rPr>
                <w:sz w:val="26"/>
                <w:szCs w:val="26"/>
              </w:rPr>
              <w:t>0,01</w:t>
            </w:r>
          </w:p>
        </w:tc>
        <w:tc>
          <w:tcPr>
            <w:tcW w:w="1133"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0,43</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149,1</w:t>
            </w:r>
          </w:p>
        </w:tc>
      </w:tr>
      <w:tr w:rsidR="002A5B09" w:rsidRPr="00AC6BE7" w:rsidTr="004470AB">
        <w:trPr>
          <w:gridAfter w:val="1"/>
          <w:wAfter w:w="17" w:type="dxa"/>
        </w:trPr>
        <w:tc>
          <w:tcPr>
            <w:tcW w:w="533" w:type="dxa"/>
            <w:vMerge/>
            <w:tcBorders>
              <w:left w:val="single" w:sz="4" w:space="0" w:color="auto"/>
              <w:right w:val="single" w:sz="4" w:space="0" w:color="auto"/>
            </w:tcBorders>
            <w:vAlign w:val="center"/>
          </w:tcPr>
          <w:p w:rsidR="002A5B09" w:rsidRPr="00AC6BE7" w:rsidRDefault="002A5B09" w:rsidP="00AE1CD4">
            <w:pPr>
              <w:pStyle w:val="a5"/>
              <w:tabs>
                <w:tab w:val="left" w:pos="1125"/>
              </w:tabs>
              <w:rPr>
                <w:sz w:val="26"/>
                <w:szCs w:val="26"/>
              </w:rPr>
            </w:pPr>
          </w:p>
        </w:tc>
        <w:tc>
          <w:tcPr>
            <w:tcW w:w="2162"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rPr>
                <w:sz w:val="26"/>
                <w:szCs w:val="26"/>
              </w:rPr>
            </w:pPr>
            <w:r w:rsidRPr="00AC6BE7">
              <w:rPr>
                <w:sz w:val="26"/>
                <w:szCs w:val="26"/>
              </w:rPr>
              <w:t>- школа, школа-інтернет, профтехучилище</w:t>
            </w:r>
          </w:p>
        </w:tc>
        <w:tc>
          <w:tcPr>
            <w:tcW w:w="1808"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tabs>
                <w:tab w:val="left" w:pos="1125"/>
              </w:tabs>
              <w:jc w:val="center"/>
              <w:rPr>
                <w:sz w:val="26"/>
                <w:szCs w:val="26"/>
              </w:rPr>
            </w:pPr>
            <w:r w:rsidRPr="00AC6BE7">
              <w:rPr>
                <w:sz w:val="26"/>
                <w:szCs w:val="26"/>
              </w:rPr>
              <w:t>1 учень</w:t>
            </w:r>
          </w:p>
        </w:tc>
        <w:tc>
          <w:tcPr>
            <w:tcW w:w="850"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0,117</w:t>
            </w:r>
          </w:p>
        </w:tc>
        <w:tc>
          <w:tcPr>
            <w:tcW w:w="885"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15,5</w:t>
            </w:r>
          </w:p>
        </w:tc>
        <w:tc>
          <w:tcPr>
            <w:tcW w:w="1276"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0,04</w:t>
            </w:r>
          </w:p>
        </w:tc>
        <w:tc>
          <w:tcPr>
            <w:tcW w:w="1133"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1,29</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132,6</w:t>
            </w:r>
          </w:p>
        </w:tc>
      </w:tr>
      <w:tr w:rsidR="002A5B09" w:rsidRPr="00AC6BE7" w:rsidTr="004470AB">
        <w:trPr>
          <w:gridAfter w:val="1"/>
          <w:wAfter w:w="17" w:type="dxa"/>
        </w:trPr>
        <w:tc>
          <w:tcPr>
            <w:tcW w:w="533" w:type="dxa"/>
            <w:vMerge/>
            <w:tcBorders>
              <w:left w:val="single" w:sz="4" w:space="0" w:color="auto"/>
              <w:bottom w:val="single" w:sz="4" w:space="0" w:color="auto"/>
              <w:right w:val="single" w:sz="4" w:space="0" w:color="auto"/>
            </w:tcBorders>
            <w:vAlign w:val="center"/>
          </w:tcPr>
          <w:p w:rsidR="002A5B09" w:rsidRPr="00AC6BE7" w:rsidRDefault="002A5B09" w:rsidP="00AE1CD4">
            <w:pPr>
              <w:tabs>
                <w:tab w:val="left" w:pos="1125"/>
              </w:tabs>
              <w:rPr>
                <w:sz w:val="26"/>
                <w:szCs w:val="26"/>
                <w:highlight w:val="yellow"/>
              </w:rPr>
            </w:pPr>
          </w:p>
        </w:tc>
        <w:tc>
          <w:tcPr>
            <w:tcW w:w="2162"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rPr>
                <w:sz w:val="26"/>
                <w:szCs w:val="26"/>
              </w:rPr>
            </w:pPr>
            <w:r w:rsidRPr="00AC6BE7">
              <w:rPr>
                <w:sz w:val="26"/>
                <w:szCs w:val="26"/>
              </w:rPr>
              <w:t>- дошкільні дитячі заклади</w:t>
            </w:r>
          </w:p>
        </w:tc>
        <w:tc>
          <w:tcPr>
            <w:tcW w:w="1808"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0,118</w:t>
            </w:r>
          </w:p>
        </w:tc>
        <w:tc>
          <w:tcPr>
            <w:tcW w:w="885"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18,0</w:t>
            </w:r>
          </w:p>
        </w:tc>
        <w:tc>
          <w:tcPr>
            <w:tcW w:w="1276"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0,04</w:t>
            </w:r>
          </w:p>
        </w:tc>
        <w:tc>
          <w:tcPr>
            <w:tcW w:w="1133"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1,39</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151,8</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6</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Склади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pStyle w:val="HTML"/>
              <w:shd w:val="clear" w:color="auto" w:fill="FFFFFF"/>
              <w:jc w:val="center"/>
              <w:rPr>
                <w:rFonts w:ascii="Times New Roman" w:hAnsi="Times New Roman" w:cs="Times New Roman"/>
                <w:sz w:val="26"/>
                <w:szCs w:val="26"/>
              </w:rPr>
            </w:pPr>
            <w:r w:rsidRPr="00AC6BE7">
              <w:rPr>
                <w:rFonts w:ascii="Times New Roman" w:hAnsi="Times New Roman" w:cs="Times New Roman"/>
                <w:sz w:val="26"/>
                <w:szCs w:val="26"/>
              </w:rPr>
              <w:t>1 м</w:t>
            </w:r>
            <w:r w:rsidRPr="00AC6BE7">
              <w:rPr>
                <w:rFonts w:ascii="Times New Roman" w:hAnsi="Times New Roman" w:cs="Times New Roman"/>
                <w:sz w:val="26"/>
                <w:szCs w:val="26"/>
                <w:vertAlign w:val="superscript"/>
              </w:rPr>
              <w:t>2</w:t>
            </w:r>
            <w:r w:rsidRPr="00AC6BE7">
              <w:rPr>
                <w:rFonts w:ascii="Times New Roman" w:hAnsi="Times New Roman" w:cs="Times New Roman"/>
                <w:sz w:val="26"/>
                <w:szCs w:val="26"/>
              </w:rPr>
              <w:t xml:space="preserve">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0,014</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3,2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224,0</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7</w:t>
            </w:r>
          </w:p>
        </w:tc>
        <w:tc>
          <w:tcPr>
            <w:tcW w:w="2162" w:type="dxa"/>
            <w:tcBorders>
              <w:top w:val="single" w:sz="4" w:space="0" w:color="auto"/>
              <w:left w:val="single" w:sz="4" w:space="0" w:color="auto"/>
              <w:bottom w:val="single" w:sz="4" w:space="0" w:color="auto"/>
              <w:right w:val="single" w:sz="4" w:space="0" w:color="auto"/>
            </w:tcBorders>
            <w:vAlign w:val="center"/>
          </w:tcPr>
          <w:p w:rsidR="004470AB" w:rsidRPr="00AC6BE7" w:rsidRDefault="00977F03" w:rsidP="00AE1CD4">
            <w:pPr>
              <w:rPr>
                <w:sz w:val="26"/>
                <w:szCs w:val="26"/>
              </w:rPr>
            </w:pPr>
            <w:r w:rsidRPr="00AC6BE7">
              <w:rPr>
                <w:sz w:val="26"/>
                <w:szCs w:val="26"/>
              </w:rPr>
              <w:t>Адміністративні та громадські установи і організації</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робоче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0,461</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79,1</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0,16</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5,14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171,6</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8</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 xml:space="preserve">Промтоварні заклади торгівлі </w:t>
            </w:r>
            <w:r w:rsidRPr="00AC6BE7">
              <w:rPr>
                <w:sz w:val="26"/>
                <w:szCs w:val="26"/>
              </w:rPr>
              <w:lastRenderedPageBreak/>
              <w:t>(Промтоварні магазини, ларьки, кіоски)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lastRenderedPageBreak/>
              <w:t>1 м</w:t>
            </w:r>
            <w:r w:rsidRPr="00AC6BE7">
              <w:rPr>
                <w:sz w:val="26"/>
                <w:szCs w:val="26"/>
                <w:vertAlign w:val="superscript"/>
              </w:rPr>
              <w:t xml:space="preserve">2 </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0,552</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88,0</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0,13</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4,13</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159,5</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9</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Продуктові заклади торгівлі (Продовольчі магазини, ларьки, кіоски)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2,584</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504,8</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0,57</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18,87</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195,4</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10</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Ринки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lang w:val="ru-RU"/>
              </w:rPr>
            </w:pPr>
            <w:r w:rsidRPr="00AC6BE7">
              <w:rPr>
                <w:sz w:val="26"/>
                <w:szCs w:val="26"/>
              </w:rPr>
              <w:t>1 м</w:t>
            </w:r>
            <w:r w:rsidRPr="00AC6BE7">
              <w:rPr>
                <w:sz w:val="26"/>
                <w:szCs w:val="26"/>
                <w:vertAlign w:val="superscript"/>
              </w:rPr>
              <w:t>2</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0,217</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45,2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1,60</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208,5</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11</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Заклади громадського харчування (ресторани, кафе, їдальні)</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2,040</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378,7</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14,76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185,6</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12</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Підприємства побутового обслуговування</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робоче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1,355</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117,3</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0,48</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15,80</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169,7</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13</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Лікарні</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ліжко</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1,322</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175,4</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0,42</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13,97</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132,6</w:t>
            </w:r>
          </w:p>
        </w:tc>
      </w:tr>
      <w:tr w:rsidR="00977F03" w:rsidRPr="00AC6BE7" w:rsidTr="004470AB">
        <w:trPr>
          <w:gridAfter w:val="1"/>
          <w:wAfter w:w="17" w:type="dxa"/>
          <w:trHeight w:val="412"/>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14</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Поліклініки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відвідування</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0,003</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0,5</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130,9</w:t>
            </w:r>
          </w:p>
        </w:tc>
      </w:tr>
      <w:tr w:rsidR="00977F03" w:rsidRPr="00AC6BE7" w:rsidTr="004470AB">
        <w:trPr>
          <w:gridAfter w:val="1"/>
          <w:wAfter w:w="17" w:type="dxa"/>
          <w:trHeight w:val="210"/>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15</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Вокзал, автовокзал, аеропорт</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пасажирської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1,798</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285,4</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0,39</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12,98</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158,4</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16</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Заклади культури і мистецтва</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0,6</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0,02</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0,07</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90,9</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17</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Аптеки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0,523</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69,7</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0,12</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3,86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133,3</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18</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Кемпінги, автостоянки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156,4</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19</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Кладовища</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0,036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5,7</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0,22</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161,4</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20</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Культові споруди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площі території</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0,002</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0,3</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0,004</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0,01</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148,2</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21</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Супер</w:t>
            </w:r>
            <w:r w:rsidR="004470AB">
              <w:rPr>
                <w:bCs/>
                <w:sz w:val="26"/>
                <w:szCs w:val="26"/>
              </w:rPr>
              <w:t xml:space="preserve">маркети площею більше 1000 </w:t>
            </w:r>
            <w:r w:rsidR="004470AB" w:rsidRPr="00AC6BE7">
              <w:rPr>
                <w:sz w:val="26"/>
                <w:szCs w:val="26"/>
              </w:rPr>
              <w:t>м</w:t>
            </w:r>
            <w:r w:rsidR="004470AB" w:rsidRPr="00AC6BE7">
              <w:rPr>
                <w:sz w:val="26"/>
                <w:szCs w:val="26"/>
                <w:vertAlign w:val="superscript"/>
              </w:rPr>
              <w:t>2</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торгівельної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0,394</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75,2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0,09</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2,83</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191,1</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22</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Гаражі (гаражні кооперативи)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156,4</w:t>
            </w:r>
          </w:p>
        </w:tc>
      </w:tr>
    </w:tbl>
    <w:p w:rsidR="001934E7" w:rsidRDefault="001934E7" w:rsidP="00CB5795">
      <w:pPr>
        <w:tabs>
          <w:tab w:val="left" w:pos="1125"/>
        </w:tabs>
        <w:spacing w:after="0" w:line="240" w:lineRule="auto"/>
        <w:ind w:left="1320" w:hanging="1462"/>
        <w:jc w:val="both"/>
        <w:rPr>
          <w:rFonts w:ascii="Times New Roman" w:hAnsi="Times New Roman" w:cs="Times New Roman"/>
          <w:b/>
          <w:sz w:val="28"/>
          <w:szCs w:val="28"/>
        </w:rPr>
      </w:pPr>
    </w:p>
    <w:p w:rsidR="004470AB" w:rsidRDefault="004470AB" w:rsidP="00CB5795">
      <w:pPr>
        <w:tabs>
          <w:tab w:val="left" w:pos="1125"/>
        </w:tabs>
        <w:spacing w:after="0" w:line="240" w:lineRule="auto"/>
        <w:ind w:left="1320" w:hanging="1462"/>
        <w:jc w:val="both"/>
        <w:rPr>
          <w:rFonts w:ascii="Times New Roman" w:hAnsi="Times New Roman" w:cs="Times New Roman"/>
          <w:b/>
          <w:sz w:val="28"/>
          <w:szCs w:val="28"/>
        </w:rPr>
      </w:pPr>
    </w:p>
    <w:p w:rsidR="004470AB" w:rsidRPr="004470AB" w:rsidRDefault="0019191B" w:rsidP="00CB5795">
      <w:pPr>
        <w:tabs>
          <w:tab w:val="left" w:pos="1125"/>
        </w:tabs>
        <w:spacing w:after="0" w:line="240" w:lineRule="auto"/>
        <w:ind w:left="1320" w:hanging="1462"/>
        <w:jc w:val="both"/>
        <w:rPr>
          <w:rFonts w:ascii="Times New Roman" w:hAnsi="Times New Roman" w:cs="Times New Roman"/>
          <w:sz w:val="28"/>
          <w:szCs w:val="28"/>
        </w:rPr>
      </w:pPr>
      <w:r w:rsidRPr="004470AB">
        <w:rPr>
          <w:rFonts w:ascii="Times New Roman" w:hAnsi="Times New Roman" w:cs="Times New Roman"/>
          <w:sz w:val="28"/>
          <w:szCs w:val="28"/>
        </w:rPr>
        <w:t>Директор</w:t>
      </w:r>
      <w:r w:rsidR="004470AB" w:rsidRPr="004470AB">
        <w:rPr>
          <w:rFonts w:ascii="Times New Roman" w:hAnsi="Times New Roman" w:cs="Times New Roman"/>
          <w:sz w:val="28"/>
          <w:szCs w:val="28"/>
        </w:rPr>
        <w:t xml:space="preserve"> Д</w:t>
      </w:r>
      <w:r w:rsidR="00977F03" w:rsidRPr="004470AB">
        <w:rPr>
          <w:rFonts w:ascii="Times New Roman" w:hAnsi="Times New Roman" w:cs="Times New Roman"/>
          <w:sz w:val="28"/>
          <w:szCs w:val="28"/>
        </w:rPr>
        <w:t>епартаменту</w:t>
      </w:r>
    </w:p>
    <w:p w:rsidR="00977F03" w:rsidRPr="004470AB" w:rsidRDefault="004470AB" w:rsidP="00CB5795">
      <w:pPr>
        <w:tabs>
          <w:tab w:val="left" w:pos="1125"/>
        </w:tabs>
        <w:spacing w:after="0" w:line="240" w:lineRule="auto"/>
        <w:ind w:left="1320" w:hanging="1462"/>
        <w:jc w:val="both"/>
        <w:rPr>
          <w:rFonts w:ascii="Times New Roman" w:hAnsi="Times New Roman" w:cs="Times New Roman"/>
          <w:sz w:val="28"/>
          <w:szCs w:val="28"/>
        </w:rPr>
      </w:pPr>
      <w:r w:rsidRPr="004470AB">
        <w:rPr>
          <w:rFonts w:ascii="Times New Roman" w:hAnsi="Times New Roman" w:cs="Times New Roman"/>
          <w:sz w:val="28"/>
          <w:szCs w:val="28"/>
        </w:rPr>
        <w:t>інфраструктури міста</w:t>
      </w:r>
      <w:r w:rsidR="00977F03" w:rsidRPr="004470AB">
        <w:rPr>
          <w:rFonts w:ascii="Times New Roman" w:hAnsi="Times New Roman" w:cs="Times New Roman"/>
          <w:sz w:val="28"/>
          <w:szCs w:val="28"/>
        </w:rPr>
        <w:tab/>
      </w:r>
      <w:r w:rsidR="00977F03" w:rsidRPr="004470AB">
        <w:rPr>
          <w:rFonts w:ascii="Times New Roman" w:hAnsi="Times New Roman" w:cs="Times New Roman"/>
          <w:sz w:val="28"/>
          <w:szCs w:val="28"/>
        </w:rPr>
        <w:tab/>
      </w:r>
      <w:r w:rsidR="00977F03" w:rsidRPr="004470AB">
        <w:rPr>
          <w:rFonts w:ascii="Times New Roman" w:hAnsi="Times New Roman" w:cs="Times New Roman"/>
          <w:sz w:val="28"/>
          <w:szCs w:val="28"/>
        </w:rPr>
        <w:tab/>
      </w:r>
      <w:r w:rsidR="0044645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Pr>
          <w:rFonts w:ascii="Times New Roman" w:hAnsi="Times New Roman" w:cs="Times New Roman"/>
          <w:sz w:val="28"/>
          <w:szCs w:val="28"/>
        </w:rPr>
        <w:tab/>
      </w:r>
      <w:r w:rsidR="0019191B" w:rsidRPr="004470AB">
        <w:rPr>
          <w:rFonts w:ascii="Times New Roman" w:hAnsi="Times New Roman" w:cs="Times New Roman"/>
          <w:sz w:val="28"/>
          <w:szCs w:val="28"/>
        </w:rPr>
        <w:tab/>
        <w:t>О.І. Журба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57"/>
      </w:tblGrid>
      <w:tr w:rsidR="00043644" w:rsidTr="001B6BE3">
        <w:tc>
          <w:tcPr>
            <w:tcW w:w="4219" w:type="dxa"/>
          </w:tcPr>
          <w:p w:rsidR="00043644" w:rsidRDefault="00043644" w:rsidP="001B6BE3">
            <w:pPr>
              <w:jc w:val="center"/>
            </w:pPr>
          </w:p>
        </w:tc>
        <w:tc>
          <w:tcPr>
            <w:tcW w:w="4857" w:type="dxa"/>
          </w:tcPr>
          <w:p w:rsidR="004470AB" w:rsidRDefault="004470AB" w:rsidP="001B6BE3">
            <w:pPr>
              <w:ind w:firstLine="567"/>
              <w:rPr>
                <w:sz w:val="28"/>
                <w:szCs w:val="28"/>
              </w:rPr>
            </w:pPr>
          </w:p>
          <w:p w:rsidR="004470AB" w:rsidRDefault="004470AB" w:rsidP="001B6BE3">
            <w:pPr>
              <w:ind w:firstLine="567"/>
              <w:rPr>
                <w:sz w:val="28"/>
                <w:szCs w:val="28"/>
              </w:rPr>
            </w:pPr>
          </w:p>
          <w:p w:rsidR="00043644" w:rsidRPr="00977F03" w:rsidRDefault="00043644" w:rsidP="001B6BE3">
            <w:pPr>
              <w:ind w:firstLine="567"/>
              <w:rPr>
                <w:sz w:val="28"/>
                <w:szCs w:val="28"/>
              </w:rPr>
            </w:pPr>
            <w:r w:rsidRPr="00977F03">
              <w:rPr>
                <w:sz w:val="28"/>
                <w:szCs w:val="28"/>
              </w:rPr>
              <w:lastRenderedPageBreak/>
              <w:t>Додаток</w:t>
            </w:r>
            <w:r>
              <w:rPr>
                <w:sz w:val="28"/>
                <w:szCs w:val="28"/>
              </w:rPr>
              <w:t xml:space="preserve"> 2</w:t>
            </w:r>
          </w:p>
          <w:p w:rsidR="00043644" w:rsidRPr="00977F03" w:rsidRDefault="004470AB" w:rsidP="001B6BE3">
            <w:pPr>
              <w:ind w:firstLine="567"/>
              <w:rPr>
                <w:sz w:val="28"/>
                <w:szCs w:val="28"/>
              </w:rPr>
            </w:pPr>
            <w:r>
              <w:rPr>
                <w:sz w:val="28"/>
                <w:szCs w:val="28"/>
              </w:rPr>
              <w:t>до рішення В</w:t>
            </w:r>
            <w:r w:rsidR="00043644" w:rsidRPr="00977F03">
              <w:rPr>
                <w:sz w:val="28"/>
                <w:szCs w:val="28"/>
              </w:rPr>
              <w:t>иконавчого комітету</w:t>
            </w:r>
          </w:p>
          <w:p w:rsidR="00043644" w:rsidRPr="00977F03" w:rsidRDefault="00043644" w:rsidP="001B6BE3">
            <w:pPr>
              <w:ind w:firstLine="567"/>
              <w:rPr>
                <w:sz w:val="28"/>
                <w:szCs w:val="28"/>
              </w:rPr>
            </w:pPr>
            <w:r w:rsidRPr="00977F03">
              <w:rPr>
                <w:sz w:val="28"/>
                <w:szCs w:val="28"/>
              </w:rPr>
              <w:t xml:space="preserve">Сумської міської ради </w:t>
            </w:r>
          </w:p>
          <w:p w:rsidR="00BC769E" w:rsidRPr="00BC769E" w:rsidRDefault="00BC769E" w:rsidP="00BC769E">
            <w:pPr>
              <w:ind w:firstLine="567"/>
              <w:rPr>
                <w:sz w:val="28"/>
                <w:szCs w:val="28"/>
              </w:rPr>
            </w:pPr>
            <w:r w:rsidRPr="00BC769E">
              <w:rPr>
                <w:sz w:val="28"/>
                <w:szCs w:val="28"/>
              </w:rPr>
              <w:t xml:space="preserve">від </w:t>
            </w:r>
            <w:r>
              <w:rPr>
                <w:sz w:val="28"/>
                <w:szCs w:val="28"/>
              </w:rPr>
              <w:t>29.04.2020</w:t>
            </w:r>
            <w:r w:rsidRPr="00BC769E">
              <w:rPr>
                <w:sz w:val="28"/>
                <w:szCs w:val="28"/>
              </w:rPr>
              <w:t xml:space="preserve"> </w:t>
            </w:r>
            <w:r>
              <w:rPr>
                <w:sz w:val="28"/>
                <w:szCs w:val="28"/>
              </w:rPr>
              <w:t xml:space="preserve">  </w:t>
            </w:r>
            <w:r w:rsidRPr="00BC769E">
              <w:rPr>
                <w:sz w:val="28"/>
                <w:szCs w:val="28"/>
              </w:rPr>
              <w:t>№</w:t>
            </w:r>
            <w:r>
              <w:rPr>
                <w:sz w:val="28"/>
                <w:szCs w:val="28"/>
              </w:rPr>
              <w:t xml:space="preserve"> 222</w:t>
            </w:r>
          </w:p>
          <w:p w:rsidR="00043644" w:rsidRDefault="00043644" w:rsidP="00BC769E">
            <w:pPr>
              <w:ind w:firstLine="567"/>
            </w:pPr>
          </w:p>
        </w:tc>
      </w:tr>
    </w:tbl>
    <w:p w:rsidR="00043644" w:rsidRPr="00977F03" w:rsidRDefault="00043644" w:rsidP="00043644">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lastRenderedPageBreak/>
        <w:t xml:space="preserve">Норми </w:t>
      </w:r>
    </w:p>
    <w:p w:rsidR="004470AB" w:rsidRDefault="00043644" w:rsidP="0004364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утворення рослинних відходів,</w:t>
      </w:r>
      <w:r w:rsidRPr="00977F03">
        <w:rPr>
          <w:rFonts w:ascii="Times New Roman" w:hAnsi="Times New Roman" w:cs="Times New Roman"/>
          <w:sz w:val="28"/>
          <w:szCs w:val="28"/>
        </w:rPr>
        <w:t xml:space="preserve"> що утворюються на території</w:t>
      </w:r>
    </w:p>
    <w:p w:rsidR="00043644" w:rsidRPr="00977F03" w:rsidRDefault="00043644" w:rsidP="00043644">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Сумської міської об’єднаної територіальної громади</w:t>
      </w:r>
    </w:p>
    <w:p w:rsidR="00043644" w:rsidRDefault="00043644" w:rsidP="00043644">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на 2020 – 2024</w:t>
      </w:r>
      <w:r>
        <w:rPr>
          <w:rFonts w:ascii="Times New Roman" w:hAnsi="Times New Roman" w:cs="Times New Roman"/>
          <w:sz w:val="28"/>
          <w:szCs w:val="28"/>
        </w:rPr>
        <w:t xml:space="preserve"> роки</w:t>
      </w:r>
    </w:p>
    <w:p w:rsidR="00043644" w:rsidRDefault="00043644" w:rsidP="00043644">
      <w:pPr>
        <w:spacing w:after="0" w:line="240" w:lineRule="auto"/>
        <w:ind w:firstLine="567"/>
        <w:jc w:val="center"/>
        <w:rPr>
          <w:rFonts w:ascii="Times New Roman" w:hAnsi="Times New Roman" w:cs="Times New Roman"/>
          <w:sz w:val="28"/>
          <w:szCs w:val="28"/>
        </w:rPr>
      </w:pPr>
    </w:p>
    <w:tbl>
      <w:tblPr>
        <w:tblStyle w:val="a8"/>
        <w:tblW w:w="10632" w:type="dxa"/>
        <w:tblInd w:w="-601" w:type="dxa"/>
        <w:tblLook w:val="04A0" w:firstRow="1" w:lastRow="0" w:firstColumn="1" w:lastColumn="0" w:noHBand="0" w:noVBand="1"/>
      </w:tblPr>
      <w:tblGrid>
        <w:gridCol w:w="2475"/>
        <w:gridCol w:w="1955"/>
        <w:gridCol w:w="1999"/>
        <w:gridCol w:w="1071"/>
        <w:gridCol w:w="1287"/>
        <w:gridCol w:w="1845"/>
      </w:tblGrid>
      <w:tr w:rsidR="00A15C13" w:rsidRPr="00043644" w:rsidTr="00847D3C">
        <w:tc>
          <w:tcPr>
            <w:tcW w:w="2475" w:type="dxa"/>
            <w:vMerge w:val="restart"/>
          </w:tcPr>
          <w:p w:rsidR="00A15C13" w:rsidRPr="00043644" w:rsidRDefault="00A15C13" w:rsidP="00043644">
            <w:pPr>
              <w:tabs>
                <w:tab w:val="left" w:pos="1125"/>
              </w:tabs>
              <w:jc w:val="both"/>
              <w:rPr>
                <w:sz w:val="28"/>
                <w:szCs w:val="28"/>
              </w:rPr>
            </w:pPr>
            <w:r w:rsidRPr="00043644">
              <w:rPr>
                <w:sz w:val="28"/>
                <w:szCs w:val="28"/>
              </w:rPr>
              <w:t>Найменування</w:t>
            </w:r>
          </w:p>
          <w:p w:rsidR="00A15C13" w:rsidRPr="00043644" w:rsidRDefault="00A15C13" w:rsidP="00043644">
            <w:pPr>
              <w:tabs>
                <w:tab w:val="left" w:pos="1125"/>
              </w:tabs>
              <w:jc w:val="both"/>
              <w:rPr>
                <w:sz w:val="28"/>
                <w:szCs w:val="28"/>
              </w:rPr>
            </w:pPr>
            <w:r w:rsidRPr="00043644">
              <w:rPr>
                <w:sz w:val="28"/>
                <w:szCs w:val="28"/>
              </w:rPr>
              <w:t>джерело</w:t>
            </w:r>
          </w:p>
          <w:p w:rsidR="00A15C13" w:rsidRPr="00043644" w:rsidRDefault="00A15C13" w:rsidP="00043644">
            <w:pPr>
              <w:tabs>
                <w:tab w:val="left" w:pos="1125"/>
              </w:tabs>
              <w:jc w:val="both"/>
              <w:rPr>
                <w:sz w:val="28"/>
                <w:szCs w:val="28"/>
              </w:rPr>
            </w:pPr>
            <w:r w:rsidRPr="00043644">
              <w:rPr>
                <w:sz w:val="28"/>
                <w:szCs w:val="28"/>
              </w:rPr>
              <w:t>утворення ТПВ</w:t>
            </w:r>
          </w:p>
        </w:tc>
        <w:tc>
          <w:tcPr>
            <w:tcW w:w="1955" w:type="dxa"/>
            <w:vMerge w:val="restart"/>
          </w:tcPr>
          <w:p w:rsidR="00A15C13" w:rsidRPr="00043644" w:rsidRDefault="00A15C13" w:rsidP="00043644">
            <w:pPr>
              <w:tabs>
                <w:tab w:val="left" w:pos="1125"/>
              </w:tabs>
              <w:jc w:val="both"/>
              <w:rPr>
                <w:sz w:val="28"/>
                <w:szCs w:val="28"/>
              </w:rPr>
            </w:pPr>
            <w:r w:rsidRPr="00043644">
              <w:rPr>
                <w:sz w:val="28"/>
                <w:szCs w:val="28"/>
              </w:rPr>
              <w:t>Розрахункова одиниця</w:t>
            </w:r>
          </w:p>
        </w:tc>
        <w:tc>
          <w:tcPr>
            <w:tcW w:w="1999" w:type="dxa"/>
            <w:vMerge w:val="restart"/>
          </w:tcPr>
          <w:p w:rsidR="00A15C13" w:rsidRPr="00043644" w:rsidRDefault="00A15C13" w:rsidP="00043644">
            <w:pPr>
              <w:tabs>
                <w:tab w:val="left" w:pos="1125"/>
              </w:tabs>
              <w:jc w:val="both"/>
              <w:rPr>
                <w:sz w:val="28"/>
                <w:szCs w:val="28"/>
              </w:rPr>
            </w:pPr>
            <w:r w:rsidRPr="00043644">
              <w:rPr>
                <w:sz w:val="28"/>
                <w:szCs w:val="28"/>
              </w:rPr>
              <w:t>Кількість розрахункових одиниць</w:t>
            </w:r>
          </w:p>
        </w:tc>
        <w:tc>
          <w:tcPr>
            <w:tcW w:w="2358" w:type="dxa"/>
            <w:gridSpan w:val="2"/>
          </w:tcPr>
          <w:p w:rsidR="00A15C13" w:rsidRDefault="00A15C13" w:rsidP="00043644">
            <w:pPr>
              <w:tabs>
                <w:tab w:val="left" w:pos="1125"/>
              </w:tabs>
              <w:jc w:val="both"/>
              <w:rPr>
                <w:sz w:val="28"/>
                <w:szCs w:val="28"/>
              </w:rPr>
            </w:pPr>
            <w:r>
              <w:rPr>
                <w:sz w:val="28"/>
                <w:szCs w:val="28"/>
              </w:rPr>
              <w:t>Норма утворення рослинних відходів, на рік на розрахункову одиницю</w:t>
            </w:r>
          </w:p>
        </w:tc>
        <w:tc>
          <w:tcPr>
            <w:tcW w:w="1845" w:type="dxa"/>
          </w:tcPr>
          <w:p w:rsidR="00A15C13" w:rsidRPr="00043644" w:rsidRDefault="00A15C13" w:rsidP="00043644">
            <w:pPr>
              <w:tabs>
                <w:tab w:val="left" w:pos="1125"/>
              </w:tabs>
              <w:jc w:val="both"/>
              <w:rPr>
                <w:sz w:val="28"/>
                <w:szCs w:val="28"/>
              </w:rPr>
            </w:pPr>
            <w:r>
              <w:rPr>
                <w:sz w:val="28"/>
                <w:szCs w:val="28"/>
              </w:rPr>
              <w:t>Щільність ТПВ</w:t>
            </w:r>
          </w:p>
        </w:tc>
      </w:tr>
      <w:tr w:rsidR="00847D3C" w:rsidTr="00847D3C">
        <w:tc>
          <w:tcPr>
            <w:tcW w:w="2475" w:type="dxa"/>
            <w:vMerge/>
          </w:tcPr>
          <w:p w:rsidR="00847D3C" w:rsidRDefault="00847D3C" w:rsidP="00847D3C">
            <w:pPr>
              <w:tabs>
                <w:tab w:val="left" w:pos="1125"/>
              </w:tabs>
              <w:jc w:val="both"/>
              <w:rPr>
                <w:b/>
                <w:sz w:val="28"/>
                <w:szCs w:val="28"/>
              </w:rPr>
            </w:pPr>
          </w:p>
        </w:tc>
        <w:tc>
          <w:tcPr>
            <w:tcW w:w="1955" w:type="dxa"/>
            <w:vMerge/>
          </w:tcPr>
          <w:p w:rsidR="00847D3C" w:rsidRDefault="00847D3C" w:rsidP="00847D3C">
            <w:pPr>
              <w:tabs>
                <w:tab w:val="left" w:pos="1125"/>
              </w:tabs>
              <w:jc w:val="both"/>
              <w:rPr>
                <w:b/>
                <w:sz w:val="28"/>
                <w:szCs w:val="28"/>
              </w:rPr>
            </w:pPr>
          </w:p>
        </w:tc>
        <w:tc>
          <w:tcPr>
            <w:tcW w:w="1999" w:type="dxa"/>
            <w:vMerge/>
          </w:tcPr>
          <w:p w:rsidR="00847D3C" w:rsidRDefault="00847D3C" w:rsidP="00847D3C">
            <w:pPr>
              <w:tabs>
                <w:tab w:val="left" w:pos="1125"/>
              </w:tabs>
              <w:jc w:val="both"/>
              <w:rPr>
                <w:b/>
                <w:sz w:val="28"/>
                <w:szCs w:val="28"/>
              </w:rPr>
            </w:pPr>
          </w:p>
        </w:tc>
        <w:tc>
          <w:tcPr>
            <w:tcW w:w="1071" w:type="dxa"/>
          </w:tcPr>
          <w:p w:rsidR="00847D3C" w:rsidRPr="00043644" w:rsidRDefault="00847D3C" w:rsidP="00847D3C">
            <w:pPr>
              <w:tabs>
                <w:tab w:val="left" w:pos="1125"/>
              </w:tabs>
              <w:jc w:val="both"/>
              <w:rPr>
                <w:sz w:val="28"/>
                <w:szCs w:val="28"/>
              </w:rPr>
            </w:pPr>
            <w:r w:rsidRPr="00043644">
              <w:rPr>
                <w:sz w:val="28"/>
                <w:szCs w:val="28"/>
                <w:lang w:val="en-US"/>
              </w:rPr>
              <w:t>V</w:t>
            </w:r>
            <w:r w:rsidRPr="00043644">
              <w:rPr>
                <w:sz w:val="28"/>
                <w:szCs w:val="28"/>
              </w:rPr>
              <w:t>, л</w:t>
            </w:r>
          </w:p>
        </w:tc>
        <w:tc>
          <w:tcPr>
            <w:tcW w:w="1287" w:type="dxa"/>
          </w:tcPr>
          <w:p w:rsidR="00847D3C" w:rsidRPr="00A15C13" w:rsidRDefault="00847D3C" w:rsidP="00847D3C">
            <w:pPr>
              <w:tabs>
                <w:tab w:val="left" w:pos="1125"/>
              </w:tabs>
              <w:jc w:val="both"/>
              <w:rPr>
                <w:sz w:val="28"/>
                <w:szCs w:val="28"/>
                <w:vertAlign w:val="superscript"/>
              </w:rPr>
            </w:pPr>
            <w:r w:rsidRPr="00043644">
              <w:rPr>
                <w:sz w:val="28"/>
                <w:szCs w:val="28"/>
                <w:lang w:val="en-US"/>
              </w:rPr>
              <w:t>m</w:t>
            </w:r>
            <w:r>
              <w:rPr>
                <w:sz w:val="28"/>
                <w:szCs w:val="28"/>
              </w:rPr>
              <w:t>, кг</w:t>
            </w:r>
          </w:p>
        </w:tc>
        <w:tc>
          <w:tcPr>
            <w:tcW w:w="1845" w:type="dxa"/>
          </w:tcPr>
          <w:p w:rsidR="00847D3C" w:rsidRPr="00043644" w:rsidRDefault="00847D3C" w:rsidP="00847D3C">
            <w:pPr>
              <w:tabs>
                <w:tab w:val="left" w:pos="1125"/>
              </w:tabs>
              <w:jc w:val="both"/>
              <w:rPr>
                <w:sz w:val="28"/>
                <w:szCs w:val="28"/>
                <w:vertAlign w:val="superscript"/>
              </w:rPr>
            </w:pPr>
            <w:r>
              <w:rPr>
                <w:sz w:val="28"/>
                <w:szCs w:val="28"/>
              </w:rPr>
              <w:t>кг/м</w:t>
            </w:r>
            <w:r>
              <w:rPr>
                <w:sz w:val="28"/>
                <w:szCs w:val="28"/>
                <w:vertAlign w:val="superscript"/>
              </w:rPr>
              <w:t>3</w:t>
            </w:r>
          </w:p>
        </w:tc>
      </w:tr>
      <w:tr w:rsidR="00847D3C" w:rsidRPr="00043644" w:rsidTr="00847D3C">
        <w:tc>
          <w:tcPr>
            <w:tcW w:w="2475" w:type="dxa"/>
          </w:tcPr>
          <w:p w:rsidR="00847D3C" w:rsidRPr="00043644" w:rsidRDefault="00847D3C" w:rsidP="00847D3C">
            <w:pPr>
              <w:tabs>
                <w:tab w:val="left" w:pos="1125"/>
              </w:tabs>
              <w:jc w:val="both"/>
              <w:rPr>
                <w:sz w:val="28"/>
                <w:szCs w:val="28"/>
              </w:rPr>
            </w:pPr>
            <w:r w:rsidRPr="00043644">
              <w:rPr>
                <w:sz w:val="28"/>
                <w:szCs w:val="28"/>
              </w:rPr>
              <w:t>Об’єкти благоустрою (парки,</w:t>
            </w:r>
            <w:r>
              <w:rPr>
                <w:sz w:val="28"/>
                <w:szCs w:val="28"/>
              </w:rPr>
              <w:t xml:space="preserve"> </w:t>
            </w:r>
            <w:r w:rsidRPr="00043644">
              <w:rPr>
                <w:sz w:val="28"/>
                <w:szCs w:val="28"/>
              </w:rPr>
              <w:t>сквери,</w:t>
            </w:r>
            <w:r>
              <w:rPr>
                <w:sz w:val="28"/>
                <w:szCs w:val="28"/>
              </w:rPr>
              <w:t xml:space="preserve"> </w:t>
            </w:r>
            <w:r w:rsidRPr="00043644">
              <w:rPr>
                <w:sz w:val="28"/>
                <w:szCs w:val="28"/>
              </w:rPr>
              <w:t>зелені насадження загального користування</w:t>
            </w:r>
            <w:r>
              <w:rPr>
                <w:sz w:val="28"/>
                <w:szCs w:val="28"/>
              </w:rPr>
              <w:t>,</w:t>
            </w:r>
            <w:r w:rsidRPr="00043644">
              <w:rPr>
                <w:sz w:val="28"/>
                <w:szCs w:val="28"/>
              </w:rPr>
              <w:t xml:space="preserve"> тощо</w:t>
            </w:r>
            <w:r>
              <w:rPr>
                <w:sz w:val="28"/>
                <w:szCs w:val="28"/>
              </w:rPr>
              <w:t>)</w:t>
            </w:r>
          </w:p>
        </w:tc>
        <w:tc>
          <w:tcPr>
            <w:tcW w:w="1955" w:type="dxa"/>
          </w:tcPr>
          <w:p w:rsidR="00847D3C" w:rsidRPr="00043644" w:rsidRDefault="00847D3C" w:rsidP="00847D3C">
            <w:pPr>
              <w:tabs>
                <w:tab w:val="left" w:pos="1125"/>
              </w:tabs>
              <w:jc w:val="both"/>
              <w:rPr>
                <w:sz w:val="28"/>
                <w:szCs w:val="28"/>
              </w:rPr>
            </w:pPr>
            <w:r>
              <w:rPr>
                <w:sz w:val="28"/>
                <w:szCs w:val="28"/>
              </w:rPr>
              <w:t>1 м</w:t>
            </w:r>
            <w:r>
              <w:rPr>
                <w:sz w:val="28"/>
                <w:szCs w:val="28"/>
                <w:vertAlign w:val="superscript"/>
              </w:rPr>
              <w:t xml:space="preserve">2  </w:t>
            </w:r>
            <w:r>
              <w:rPr>
                <w:sz w:val="28"/>
                <w:szCs w:val="28"/>
              </w:rPr>
              <w:t>площі території з зеленими насадженнями</w:t>
            </w:r>
          </w:p>
        </w:tc>
        <w:tc>
          <w:tcPr>
            <w:tcW w:w="1999" w:type="dxa"/>
          </w:tcPr>
          <w:p w:rsidR="00847D3C" w:rsidRPr="00043644" w:rsidRDefault="00847D3C" w:rsidP="00847D3C">
            <w:pPr>
              <w:tabs>
                <w:tab w:val="left" w:pos="1125"/>
              </w:tabs>
              <w:jc w:val="both"/>
              <w:rPr>
                <w:sz w:val="28"/>
                <w:szCs w:val="28"/>
              </w:rPr>
            </w:pPr>
            <w:r>
              <w:rPr>
                <w:sz w:val="28"/>
                <w:szCs w:val="28"/>
              </w:rPr>
              <w:t>647 000</w:t>
            </w:r>
          </w:p>
        </w:tc>
        <w:tc>
          <w:tcPr>
            <w:tcW w:w="1071" w:type="dxa"/>
          </w:tcPr>
          <w:p w:rsidR="00847D3C" w:rsidRPr="00043644" w:rsidRDefault="00847D3C" w:rsidP="00847D3C">
            <w:pPr>
              <w:tabs>
                <w:tab w:val="left" w:pos="1125"/>
              </w:tabs>
              <w:jc w:val="both"/>
              <w:rPr>
                <w:sz w:val="28"/>
                <w:szCs w:val="28"/>
              </w:rPr>
            </w:pPr>
            <w:r>
              <w:rPr>
                <w:sz w:val="28"/>
                <w:szCs w:val="28"/>
              </w:rPr>
              <w:t>2,98</w:t>
            </w:r>
          </w:p>
        </w:tc>
        <w:tc>
          <w:tcPr>
            <w:tcW w:w="1287" w:type="dxa"/>
          </w:tcPr>
          <w:p w:rsidR="00847D3C" w:rsidRDefault="00847D3C" w:rsidP="00847D3C">
            <w:pPr>
              <w:tabs>
                <w:tab w:val="left" w:pos="1125"/>
              </w:tabs>
              <w:jc w:val="both"/>
              <w:rPr>
                <w:sz w:val="28"/>
                <w:szCs w:val="28"/>
              </w:rPr>
            </w:pPr>
            <w:r>
              <w:rPr>
                <w:sz w:val="28"/>
                <w:szCs w:val="28"/>
              </w:rPr>
              <w:t>0,479</w:t>
            </w:r>
          </w:p>
        </w:tc>
        <w:tc>
          <w:tcPr>
            <w:tcW w:w="1845" w:type="dxa"/>
          </w:tcPr>
          <w:p w:rsidR="00847D3C" w:rsidRPr="00043644" w:rsidRDefault="00847D3C" w:rsidP="00847D3C">
            <w:pPr>
              <w:tabs>
                <w:tab w:val="left" w:pos="1125"/>
              </w:tabs>
              <w:jc w:val="both"/>
              <w:rPr>
                <w:sz w:val="28"/>
                <w:szCs w:val="28"/>
              </w:rPr>
            </w:pPr>
            <w:r>
              <w:rPr>
                <w:sz w:val="28"/>
                <w:szCs w:val="28"/>
              </w:rPr>
              <w:t>160,7</w:t>
            </w:r>
            <w:bookmarkStart w:id="0" w:name="_GoBack"/>
            <w:bookmarkEnd w:id="0"/>
            <w:r>
              <w:rPr>
                <w:sz w:val="28"/>
                <w:szCs w:val="28"/>
              </w:rPr>
              <w:t>4</w:t>
            </w:r>
          </w:p>
        </w:tc>
      </w:tr>
      <w:tr w:rsidR="00847D3C" w:rsidRPr="00043644" w:rsidTr="00847D3C">
        <w:tc>
          <w:tcPr>
            <w:tcW w:w="2475" w:type="dxa"/>
          </w:tcPr>
          <w:p w:rsidR="00847D3C" w:rsidRPr="00043644" w:rsidRDefault="00847D3C" w:rsidP="00847D3C">
            <w:pPr>
              <w:tabs>
                <w:tab w:val="left" w:pos="1125"/>
              </w:tabs>
              <w:jc w:val="both"/>
              <w:rPr>
                <w:sz w:val="28"/>
                <w:szCs w:val="28"/>
              </w:rPr>
            </w:pPr>
            <w:r>
              <w:rPr>
                <w:sz w:val="28"/>
                <w:szCs w:val="28"/>
              </w:rPr>
              <w:t>Прибудинкові території багатоквартирного сектору</w:t>
            </w:r>
          </w:p>
        </w:tc>
        <w:tc>
          <w:tcPr>
            <w:tcW w:w="1955" w:type="dxa"/>
          </w:tcPr>
          <w:p w:rsidR="00847D3C" w:rsidRPr="00043644" w:rsidRDefault="00847D3C" w:rsidP="00847D3C">
            <w:pPr>
              <w:tabs>
                <w:tab w:val="left" w:pos="1125"/>
              </w:tabs>
              <w:jc w:val="both"/>
              <w:rPr>
                <w:sz w:val="28"/>
                <w:szCs w:val="28"/>
              </w:rPr>
            </w:pPr>
            <w:r>
              <w:rPr>
                <w:sz w:val="28"/>
                <w:szCs w:val="28"/>
              </w:rPr>
              <w:t>1 мешканець</w:t>
            </w:r>
          </w:p>
        </w:tc>
        <w:tc>
          <w:tcPr>
            <w:tcW w:w="1999" w:type="dxa"/>
          </w:tcPr>
          <w:p w:rsidR="00847D3C" w:rsidRPr="00043644" w:rsidRDefault="00847D3C" w:rsidP="00847D3C">
            <w:pPr>
              <w:tabs>
                <w:tab w:val="left" w:pos="1125"/>
              </w:tabs>
              <w:jc w:val="both"/>
              <w:rPr>
                <w:sz w:val="28"/>
                <w:szCs w:val="28"/>
              </w:rPr>
            </w:pPr>
            <w:r>
              <w:rPr>
                <w:sz w:val="28"/>
                <w:szCs w:val="28"/>
              </w:rPr>
              <w:t>213 080</w:t>
            </w:r>
          </w:p>
        </w:tc>
        <w:tc>
          <w:tcPr>
            <w:tcW w:w="1071" w:type="dxa"/>
          </w:tcPr>
          <w:p w:rsidR="00847D3C" w:rsidRPr="00043644" w:rsidRDefault="00847D3C" w:rsidP="00847D3C">
            <w:pPr>
              <w:tabs>
                <w:tab w:val="left" w:pos="1125"/>
              </w:tabs>
              <w:jc w:val="both"/>
              <w:rPr>
                <w:sz w:val="28"/>
                <w:szCs w:val="28"/>
              </w:rPr>
            </w:pPr>
            <w:r>
              <w:rPr>
                <w:sz w:val="28"/>
                <w:szCs w:val="28"/>
              </w:rPr>
              <w:t>12,0</w:t>
            </w:r>
          </w:p>
        </w:tc>
        <w:tc>
          <w:tcPr>
            <w:tcW w:w="1287" w:type="dxa"/>
          </w:tcPr>
          <w:p w:rsidR="00847D3C" w:rsidRPr="00043644" w:rsidRDefault="00847D3C" w:rsidP="00847D3C">
            <w:pPr>
              <w:tabs>
                <w:tab w:val="left" w:pos="1125"/>
              </w:tabs>
              <w:jc w:val="both"/>
              <w:rPr>
                <w:sz w:val="28"/>
                <w:szCs w:val="28"/>
              </w:rPr>
            </w:pPr>
            <w:r>
              <w:rPr>
                <w:sz w:val="28"/>
                <w:szCs w:val="28"/>
              </w:rPr>
              <w:t>0,864</w:t>
            </w:r>
          </w:p>
        </w:tc>
        <w:tc>
          <w:tcPr>
            <w:tcW w:w="1845" w:type="dxa"/>
          </w:tcPr>
          <w:p w:rsidR="00847D3C" w:rsidRPr="00043644" w:rsidRDefault="00847D3C" w:rsidP="00847D3C">
            <w:pPr>
              <w:tabs>
                <w:tab w:val="left" w:pos="1125"/>
              </w:tabs>
              <w:jc w:val="both"/>
              <w:rPr>
                <w:sz w:val="28"/>
                <w:szCs w:val="28"/>
              </w:rPr>
            </w:pPr>
            <w:r>
              <w:rPr>
                <w:sz w:val="28"/>
                <w:szCs w:val="28"/>
              </w:rPr>
              <w:t>72,00</w:t>
            </w:r>
          </w:p>
        </w:tc>
      </w:tr>
      <w:tr w:rsidR="00847D3C" w:rsidRPr="00043644" w:rsidTr="00847D3C">
        <w:tc>
          <w:tcPr>
            <w:tcW w:w="2475" w:type="dxa"/>
          </w:tcPr>
          <w:p w:rsidR="00847D3C" w:rsidRPr="00043644" w:rsidRDefault="00847D3C" w:rsidP="00847D3C">
            <w:pPr>
              <w:tabs>
                <w:tab w:val="left" w:pos="1125"/>
              </w:tabs>
              <w:jc w:val="both"/>
              <w:rPr>
                <w:sz w:val="28"/>
                <w:szCs w:val="28"/>
              </w:rPr>
            </w:pPr>
            <w:r>
              <w:rPr>
                <w:sz w:val="28"/>
                <w:szCs w:val="28"/>
              </w:rPr>
              <w:t>Озеленені території одноквартирних будинків з присадибною ділянкою</w:t>
            </w:r>
          </w:p>
        </w:tc>
        <w:tc>
          <w:tcPr>
            <w:tcW w:w="1955" w:type="dxa"/>
          </w:tcPr>
          <w:p w:rsidR="00847D3C" w:rsidRPr="00043644" w:rsidRDefault="00847D3C" w:rsidP="00847D3C">
            <w:pPr>
              <w:tabs>
                <w:tab w:val="left" w:pos="1125"/>
              </w:tabs>
              <w:jc w:val="both"/>
              <w:rPr>
                <w:sz w:val="28"/>
                <w:szCs w:val="28"/>
              </w:rPr>
            </w:pPr>
            <w:r>
              <w:rPr>
                <w:sz w:val="28"/>
                <w:szCs w:val="28"/>
              </w:rPr>
              <w:t>1 мешканець</w:t>
            </w:r>
          </w:p>
        </w:tc>
        <w:tc>
          <w:tcPr>
            <w:tcW w:w="1999" w:type="dxa"/>
          </w:tcPr>
          <w:p w:rsidR="00847D3C" w:rsidRPr="00043644" w:rsidRDefault="00847D3C" w:rsidP="00847D3C">
            <w:pPr>
              <w:tabs>
                <w:tab w:val="left" w:pos="1125"/>
              </w:tabs>
              <w:jc w:val="both"/>
              <w:rPr>
                <w:sz w:val="28"/>
                <w:szCs w:val="28"/>
              </w:rPr>
            </w:pPr>
            <w:r>
              <w:rPr>
                <w:sz w:val="28"/>
                <w:szCs w:val="28"/>
              </w:rPr>
              <w:t>54 920</w:t>
            </w:r>
          </w:p>
        </w:tc>
        <w:tc>
          <w:tcPr>
            <w:tcW w:w="1071" w:type="dxa"/>
          </w:tcPr>
          <w:p w:rsidR="00847D3C" w:rsidRPr="00043644" w:rsidRDefault="00847D3C" w:rsidP="00847D3C">
            <w:pPr>
              <w:tabs>
                <w:tab w:val="left" w:pos="1125"/>
              </w:tabs>
              <w:jc w:val="both"/>
              <w:rPr>
                <w:sz w:val="28"/>
                <w:szCs w:val="28"/>
              </w:rPr>
            </w:pPr>
            <w:r>
              <w:rPr>
                <w:sz w:val="28"/>
                <w:szCs w:val="28"/>
              </w:rPr>
              <w:t>12,0</w:t>
            </w:r>
          </w:p>
        </w:tc>
        <w:tc>
          <w:tcPr>
            <w:tcW w:w="1287" w:type="dxa"/>
          </w:tcPr>
          <w:p w:rsidR="00847D3C" w:rsidRDefault="00847D3C" w:rsidP="00847D3C">
            <w:pPr>
              <w:tabs>
                <w:tab w:val="left" w:pos="1125"/>
              </w:tabs>
              <w:jc w:val="both"/>
              <w:rPr>
                <w:sz w:val="28"/>
                <w:szCs w:val="28"/>
              </w:rPr>
            </w:pPr>
            <w:r>
              <w:rPr>
                <w:sz w:val="28"/>
                <w:szCs w:val="28"/>
              </w:rPr>
              <w:t>0,996</w:t>
            </w:r>
          </w:p>
        </w:tc>
        <w:tc>
          <w:tcPr>
            <w:tcW w:w="1845" w:type="dxa"/>
          </w:tcPr>
          <w:p w:rsidR="00847D3C" w:rsidRPr="00043644" w:rsidRDefault="00847D3C" w:rsidP="00847D3C">
            <w:pPr>
              <w:tabs>
                <w:tab w:val="left" w:pos="1125"/>
              </w:tabs>
              <w:jc w:val="both"/>
              <w:rPr>
                <w:sz w:val="28"/>
                <w:szCs w:val="28"/>
              </w:rPr>
            </w:pPr>
            <w:r>
              <w:rPr>
                <w:sz w:val="28"/>
                <w:szCs w:val="28"/>
              </w:rPr>
              <w:t>83,00</w:t>
            </w:r>
          </w:p>
        </w:tc>
      </w:tr>
    </w:tbl>
    <w:p w:rsidR="00043644" w:rsidRDefault="00043644" w:rsidP="0044645B">
      <w:pPr>
        <w:tabs>
          <w:tab w:val="left" w:pos="1125"/>
        </w:tabs>
        <w:spacing w:after="0" w:line="240" w:lineRule="auto"/>
        <w:jc w:val="both"/>
        <w:rPr>
          <w:rFonts w:ascii="Times New Roman" w:hAnsi="Times New Roman" w:cs="Times New Roman"/>
          <w:b/>
          <w:sz w:val="28"/>
          <w:szCs w:val="28"/>
        </w:rPr>
      </w:pPr>
    </w:p>
    <w:p w:rsidR="0044645B" w:rsidRDefault="0044645B" w:rsidP="0044645B">
      <w:pPr>
        <w:tabs>
          <w:tab w:val="left" w:pos="1125"/>
        </w:tabs>
        <w:spacing w:after="0" w:line="240" w:lineRule="auto"/>
        <w:jc w:val="both"/>
        <w:rPr>
          <w:rFonts w:ascii="Times New Roman" w:hAnsi="Times New Roman" w:cs="Times New Roman"/>
          <w:b/>
          <w:sz w:val="28"/>
          <w:szCs w:val="28"/>
        </w:rPr>
      </w:pPr>
    </w:p>
    <w:p w:rsidR="0044645B" w:rsidRDefault="0044645B" w:rsidP="0044645B">
      <w:pPr>
        <w:tabs>
          <w:tab w:val="left" w:pos="1125"/>
        </w:tabs>
        <w:spacing w:after="0" w:line="240" w:lineRule="auto"/>
        <w:jc w:val="both"/>
        <w:rPr>
          <w:rFonts w:ascii="Times New Roman" w:hAnsi="Times New Roman" w:cs="Times New Roman"/>
          <w:b/>
          <w:sz w:val="28"/>
          <w:szCs w:val="28"/>
        </w:rPr>
      </w:pPr>
    </w:p>
    <w:p w:rsidR="0044645B" w:rsidRDefault="0044645B" w:rsidP="0044645B">
      <w:pPr>
        <w:tabs>
          <w:tab w:val="left" w:pos="1125"/>
        </w:tabs>
        <w:spacing w:after="0" w:line="240" w:lineRule="auto"/>
        <w:jc w:val="both"/>
        <w:rPr>
          <w:rFonts w:ascii="Times New Roman" w:hAnsi="Times New Roman" w:cs="Times New Roman"/>
          <w:b/>
          <w:sz w:val="28"/>
          <w:szCs w:val="28"/>
        </w:rPr>
      </w:pPr>
    </w:p>
    <w:p w:rsidR="004470AB" w:rsidRPr="004470AB" w:rsidRDefault="004470AB" w:rsidP="0044645B">
      <w:pPr>
        <w:tabs>
          <w:tab w:val="left" w:pos="1125"/>
        </w:tabs>
        <w:spacing w:after="0" w:line="240" w:lineRule="auto"/>
        <w:jc w:val="both"/>
        <w:rPr>
          <w:rFonts w:ascii="Times New Roman" w:hAnsi="Times New Roman" w:cs="Times New Roman"/>
          <w:sz w:val="28"/>
          <w:szCs w:val="28"/>
        </w:rPr>
      </w:pPr>
      <w:r w:rsidRPr="004470AB">
        <w:rPr>
          <w:rFonts w:ascii="Times New Roman" w:hAnsi="Times New Roman" w:cs="Times New Roman"/>
          <w:sz w:val="28"/>
          <w:szCs w:val="28"/>
        </w:rPr>
        <w:t>Директор Д</w:t>
      </w:r>
      <w:r w:rsidR="0019191B" w:rsidRPr="004470AB">
        <w:rPr>
          <w:rFonts w:ascii="Times New Roman" w:hAnsi="Times New Roman" w:cs="Times New Roman"/>
          <w:sz w:val="28"/>
          <w:szCs w:val="28"/>
        </w:rPr>
        <w:t>епартаменту</w:t>
      </w:r>
    </w:p>
    <w:p w:rsidR="0044645B" w:rsidRPr="004470AB" w:rsidRDefault="004470AB" w:rsidP="0044645B">
      <w:pPr>
        <w:tabs>
          <w:tab w:val="left" w:pos="1125"/>
        </w:tabs>
        <w:spacing w:after="0" w:line="240" w:lineRule="auto"/>
        <w:jc w:val="both"/>
        <w:rPr>
          <w:rFonts w:ascii="Times New Roman" w:hAnsi="Times New Roman" w:cs="Times New Roman"/>
          <w:sz w:val="28"/>
          <w:szCs w:val="28"/>
        </w:rPr>
      </w:pPr>
      <w:r w:rsidRPr="004470AB">
        <w:rPr>
          <w:rFonts w:ascii="Times New Roman" w:hAnsi="Times New Roman" w:cs="Times New Roman"/>
          <w:sz w:val="28"/>
          <w:szCs w:val="28"/>
        </w:rPr>
        <w:t>інфраструктури міста</w:t>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t>О.І. Журба</w:t>
      </w:r>
    </w:p>
    <w:sectPr w:rsidR="0044645B" w:rsidRPr="004470AB" w:rsidSect="004470AB">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7936"/>
    <w:rsid w:val="000118BA"/>
    <w:rsid w:val="0002501B"/>
    <w:rsid w:val="00026D7B"/>
    <w:rsid w:val="00041953"/>
    <w:rsid w:val="00043644"/>
    <w:rsid w:val="000656DD"/>
    <w:rsid w:val="0008313E"/>
    <w:rsid w:val="00086724"/>
    <w:rsid w:val="000B3E5E"/>
    <w:rsid w:val="000B44A5"/>
    <w:rsid w:val="000B6B25"/>
    <w:rsid w:val="000B7CFD"/>
    <w:rsid w:val="000C7155"/>
    <w:rsid w:val="000E21B2"/>
    <w:rsid w:val="000E288F"/>
    <w:rsid w:val="000F173F"/>
    <w:rsid w:val="000F1E82"/>
    <w:rsid w:val="000F4B80"/>
    <w:rsid w:val="000F7063"/>
    <w:rsid w:val="001017EE"/>
    <w:rsid w:val="001111EC"/>
    <w:rsid w:val="00111ADB"/>
    <w:rsid w:val="001343D6"/>
    <w:rsid w:val="00150275"/>
    <w:rsid w:val="00151E40"/>
    <w:rsid w:val="00155D6B"/>
    <w:rsid w:val="00174C2C"/>
    <w:rsid w:val="0019191B"/>
    <w:rsid w:val="001934E7"/>
    <w:rsid w:val="00193E4E"/>
    <w:rsid w:val="001B0D4C"/>
    <w:rsid w:val="001B0ED3"/>
    <w:rsid w:val="001B5539"/>
    <w:rsid w:val="001B5D90"/>
    <w:rsid w:val="001C43BF"/>
    <w:rsid w:val="001D14F2"/>
    <w:rsid w:val="001D340B"/>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25411"/>
    <w:rsid w:val="00443EBA"/>
    <w:rsid w:val="0044645B"/>
    <w:rsid w:val="004470AB"/>
    <w:rsid w:val="0045438C"/>
    <w:rsid w:val="0047289F"/>
    <w:rsid w:val="00497E8F"/>
    <w:rsid w:val="004A5488"/>
    <w:rsid w:val="004B15AB"/>
    <w:rsid w:val="004C484F"/>
    <w:rsid w:val="004D273B"/>
    <w:rsid w:val="004D456C"/>
    <w:rsid w:val="004E0841"/>
    <w:rsid w:val="004E1191"/>
    <w:rsid w:val="00502BB8"/>
    <w:rsid w:val="00503476"/>
    <w:rsid w:val="005047D1"/>
    <w:rsid w:val="00507BED"/>
    <w:rsid w:val="005214C4"/>
    <w:rsid w:val="00526502"/>
    <w:rsid w:val="00532732"/>
    <w:rsid w:val="00541368"/>
    <w:rsid w:val="00544096"/>
    <w:rsid w:val="00546F5C"/>
    <w:rsid w:val="00562E37"/>
    <w:rsid w:val="00574247"/>
    <w:rsid w:val="00574403"/>
    <w:rsid w:val="005771D2"/>
    <w:rsid w:val="005808C4"/>
    <w:rsid w:val="00580FD4"/>
    <w:rsid w:val="005913BD"/>
    <w:rsid w:val="00592992"/>
    <w:rsid w:val="00594FA0"/>
    <w:rsid w:val="005A6EF6"/>
    <w:rsid w:val="005A7AA5"/>
    <w:rsid w:val="005B792C"/>
    <w:rsid w:val="005C0F2F"/>
    <w:rsid w:val="005E50EF"/>
    <w:rsid w:val="005F705D"/>
    <w:rsid w:val="005F7768"/>
    <w:rsid w:val="00600E49"/>
    <w:rsid w:val="00616975"/>
    <w:rsid w:val="00627D26"/>
    <w:rsid w:val="00637700"/>
    <w:rsid w:val="00640708"/>
    <w:rsid w:val="00653B79"/>
    <w:rsid w:val="00660E8B"/>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47D3C"/>
    <w:rsid w:val="00855E34"/>
    <w:rsid w:val="0086248C"/>
    <w:rsid w:val="00863977"/>
    <w:rsid w:val="00863D59"/>
    <w:rsid w:val="00864474"/>
    <w:rsid w:val="00896537"/>
    <w:rsid w:val="008A1308"/>
    <w:rsid w:val="008A3B88"/>
    <w:rsid w:val="008C3E82"/>
    <w:rsid w:val="008C7A0D"/>
    <w:rsid w:val="008E3444"/>
    <w:rsid w:val="008F6101"/>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72AA"/>
    <w:rsid w:val="009E3206"/>
    <w:rsid w:val="009E5587"/>
    <w:rsid w:val="009F36DE"/>
    <w:rsid w:val="00A05909"/>
    <w:rsid w:val="00A15C13"/>
    <w:rsid w:val="00A27D8F"/>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31B4A"/>
    <w:rsid w:val="00B3558B"/>
    <w:rsid w:val="00B4122E"/>
    <w:rsid w:val="00B62A8A"/>
    <w:rsid w:val="00B7378F"/>
    <w:rsid w:val="00B77AFA"/>
    <w:rsid w:val="00BA5A92"/>
    <w:rsid w:val="00BB634D"/>
    <w:rsid w:val="00BB646F"/>
    <w:rsid w:val="00BB70C8"/>
    <w:rsid w:val="00BC769E"/>
    <w:rsid w:val="00BD3AB6"/>
    <w:rsid w:val="00BD5328"/>
    <w:rsid w:val="00BD663F"/>
    <w:rsid w:val="00BE5134"/>
    <w:rsid w:val="00BF421A"/>
    <w:rsid w:val="00BF4C83"/>
    <w:rsid w:val="00BF62F5"/>
    <w:rsid w:val="00C22AE1"/>
    <w:rsid w:val="00C30213"/>
    <w:rsid w:val="00C52C32"/>
    <w:rsid w:val="00C72672"/>
    <w:rsid w:val="00C851A8"/>
    <w:rsid w:val="00CA00AB"/>
    <w:rsid w:val="00CA3E96"/>
    <w:rsid w:val="00CB4B76"/>
    <w:rsid w:val="00CB5795"/>
    <w:rsid w:val="00CD355D"/>
    <w:rsid w:val="00CE077C"/>
    <w:rsid w:val="00CE3BF2"/>
    <w:rsid w:val="00CF29AC"/>
    <w:rsid w:val="00D03EDE"/>
    <w:rsid w:val="00D135DA"/>
    <w:rsid w:val="00D1659A"/>
    <w:rsid w:val="00D36406"/>
    <w:rsid w:val="00D4156D"/>
    <w:rsid w:val="00D6708C"/>
    <w:rsid w:val="00D844A1"/>
    <w:rsid w:val="00D857AD"/>
    <w:rsid w:val="00DC521E"/>
    <w:rsid w:val="00E02572"/>
    <w:rsid w:val="00E03176"/>
    <w:rsid w:val="00E03820"/>
    <w:rsid w:val="00E20579"/>
    <w:rsid w:val="00E215D6"/>
    <w:rsid w:val="00E43A2B"/>
    <w:rsid w:val="00E46C13"/>
    <w:rsid w:val="00E61427"/>
    <w:rsid w:val="00E6193A"/>
    <w:rsid w:val="00E66156"/>
    <w:rsid w:val="00E704B9"/>
    <w:rsid w:val="00E905BE"/>
    <w:rsid w:val="00E90918"/>
    <w:rsid w:val="00E94ACC"/>
    <w:rsid w:val="00EA5C96"/>
    <w:rsid w:val="00EB1374"/>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B6A8E"/>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59CE-8E26-44A8-8419-BF867F3F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30</cp:revision>
  <cp:lastPrinted>2020-04-30T08:38:00Z</cp:lastPrinted>
  <dcterms:created xsi:type="dcterms:W3CDTF">2019-01-22T15:03:00Z</dcterms:created>
  <dcterms:modified xsi:type="dcterms:W3CDTF">2020-04-30T10:30:00Z</dcterms:modified>
</cp:coreProperties>
</file>