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0EF9" w14:textId="77777777" w:rsidR="00E42640" w:rsidRPr="00562455" w:rsidRDefault="00171E12" w:rsidP="00E42640">
      <w:pPr>
        <w:pStyle w:val="a3"/>
        <w:tabs>
          <w:tab w:val="clear" w:pos="4153"/>
          <w:tab w:val="clear" w:pos="8306"/>
        </w:tabs>
        <w:jc w:val="center"/>
        <w:rPr>
          <w:sz w:val="36"/>
          <w:szCs w:val="36"/>
          <w:lang w:val="uk-UA"/>
        </w:rPr>
      </w:pPr>
      <w:r w:rsidRPr="005D474E">
        <w:rPr>
          <w:noProof/>
          <w:lang w:val="uk-UA" w:eastAsia="uk-UA"/>
        </w:rPr>
        <w:drawing>
          <wp:anchor distT="0" distB="0" distL="114300" distR="114300" simplePos="0" relativeHeight="251659264" behindDoc="0" locked="0" layoutInCell="1" allowOverlap="1" wp14:anchorId="3A4589D3" wp14:editId="18C53C5F">
            <wp:simplePos x="0" y="0"/>
            <wp:positionH relativeFrom="margin">
              <wp:posOffset>2810510</wp:posOffset>
            </wp:positionH>
            <wp:positionV relativeFrom="margin">
              <wp:posOffset>-709930</wp:posOffset>
            </wp:positionV>
            <wp:extent cx="474345" cy="638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640" w:rsidRPr="005D474E">
        <w:rPr>
          <w:sz w:val="36"/>
          <w:szCs w:val="36"/>
          <w:lang w:val="uk-UA"/>
        </w:rPr>
        <w:t>Сум</w:t>
      </w:r>
      <w:r w:rsidR="00E42640" w:rsidRPr="00562455">
        <w:rPr>
          <w:sz w:val="36"/>
          <w:szCs w:val="36"/>
          <w:lang w:val="uk-UA"/>
        </w:rPr>
        <w:t>ська міська рада</w:t>
      </w:r>
    </w:p>
    <w:p w14:paraId="2F614E16" w14:textId="77777777" w:rsidR="00E42640" w:rsidRPr="00562455" w:rsidRDefault="00E42640" w:rsidP="00E42640">
      <w:pPr>
        <w:pStyle w:val="a3"/>
        <w:tabs>
          <w:tab w:val="clear" w:pos="4153"/>
          <w:tab w:val="clear" w:pos="8306"/>
        </w:tabs>
        <w:jc w:val="center"/>
        <w:rPr>
          <w:b/>
          <w:sz w:val="36"/>
          <w:szCs w:val="36"/>
          <w:lang w:val="uk-UA"/>
        </w:rPr>
      </w:pPr>
      <w:r w:rsidRPr="00562455">
        <w:rPr>
          <w:sz w:val="36"/>
          <w:szCs w:val="36"/>
          <w:lang w:val="uk-UA"/>
        </w:rPr>
        <w:t>Виконавчий комітет</w:t>
      </w:r>
    </w:p>
    <w:p w14:paraId="42FD5D7C" w14:textId="0B938DC1" w:rsidR="00E42640" w:rsidRDefault="00E42640" w:rsidP="00E42640">
      <w:pPr>
        <w:pStyle w:val="a3"/>
        <w:tabs>
          <w:tab w:val="clear" w:pos="4153"/>
          <w:tab w:val="clear" w:pos="8306"/>
        </w:tabs>
        <w:jc w:val="center"/>
        <w:rPr>
          <w:b/>
          <w:sz w:val="36"/>
          <w:szCs w:val="36"/>
          <w:lang w:val="uk-UA"/>
        </w:rPr>
      </w:pPr>
      <w:r w:rsidRPr="00562455">
        <w:rPr>
          <w:b/>
          <w:sz w:val="36"/>
          <w:szCs w:val="36"/>
          <w:lang w:val="uk-UA"/>
        </w:rPr>
        <w:t>РІШЕННЯ</w:t>
      </w:r>
    </w:p>
    <w:p w14:paraId="156762E5" w14:textId="77777777" w:rsidR="0007362E" w:rsidRPr="00562455" w:rsidRDefault="0007362E" w:rsidP="00E42640">
      <w:pPr>
        <w:pStyle w:val="a3"/>
        <w:tabs>
          <w:tab w:val="clear" w:pos="4153"/>
          <w:tab w:val="clear" w:pos="8306"/>
        </w:tabs>
        <w:jc w:val="center"/>
        <w:rPr>
          <w:b/>
          <w:sz w:val="36"/>
          <w:szCs w:val="36"/>
          <w:lang w:val="uk-UA"/>
        </w:rPr>
      </w:pPr>
    </w:p>
    <w:p w14:paraId="0CF8406E" w14:textId="77777777" w:rsidR="00B73D43" w:rsidRPr="00562455" w:rsidRDefault="00B73D43" w:rsidP="00B73D43">
      <w:pPr>
        <w:jc w:val="center"/>
        <w:rPr>
          <w:sz w:val="28"/>
          <w:szCs w:val="28"/>
        </w:rPr>
      </w:pPr>
    </w:p>
    <w:tbl>
      <w:tblPr>
        <w:tblW w:w="0" w:type="auto"/>
        <w:tblInd w:w="-63" w:type="dxa"/>
        <w:tblLook w:val="01E0" w:firstRow="1" w:lastRow="1" w:firstColumn="1" w:lastColumn="1" w:noHBand="0" w:noVBand="0"/>
      </w:tblPr>
      <w:tblGrid>
        <w:gridCol w:w="4282"/>
      </w:tblGrid>
      <w:tr w:rsidR="00B73D43" w:rsidRPr="00562455" w14:paraId="02B32CA5" w14:textId="77777777" w:rsidTr="00EE2EE1">
        <w:tc>
          <w:tcPr>
            <w:tcW w:w="4282" w:type="dxa"/>
          </w:tcPr>
          <w:p w14:paraId="2ACC8265" w14:textId="3DF9AFDC" w:rsidR="00B73D43" w:rsidRPr="00562455" w:rsidRDefault="0007362E" w:rsidP="0007362E">
            <w:pPr>
              <w:jc w:val="both"/>
              <w:rPr>
                <w:sz w:val="28"/>
                <w:szCs w:val="28"/>
              </w:rPr>
            </w:pPr>
            <w:r>
              <w:rPr>
                <w:sz w:val="28"/>
                <w:szCs w:val="28"/>
              </w:rPr>
              <w:t xml:space="preserve">від </w:t>
            </w:r>
            <w:r w:rsidRPr="0007362E">
              <w:rPr>
                <w:sz w:val="28"/>
                <w:szCs w:val="28"/>
              </w:rPr>
              <w:t>16.05.2017</w:t>
            </w:r>
            <w:r w:rsidR="001B06C4" w:rsidRPr="0007362E">
              <w:rPr>
                <w:sz w:val="28"/>
                <w:szCs w:val="28"/>
              </w:rPr>
              <w:t xml:space="preserve"> </w:t>
            </w:r>
            <w:r w:rsidR="005C517E" w:rsidRPr="0007362E">
              <w:rPr>
                <w:sz w:val="28"/>
                <w:szCs w:val="28"/>
              </w:rPr>
              <w:t xml:space="preserve"> </w:t>
            </w:r>
            <w:r>
              <w:rPr>
                <w:sz w:val="28"/>
                <w:szCs w:val="28"/>
              </w:rPr>
              <w:t>№  277</w:t>
            </w:r>
            <w:r w:rsidR="00EE2EE1" w:rsidRPr="00562455">
              <w:rPr>
                <w:color w:val="FFFFFF" w:themeColor="background1"/>
                <w:sz w:val="28"/>
                <w:szCs w:val="28"/>
              </w:rPr>
              <w:t>_________</w:t>
            </w:r>
          </w:p>
        </w:tc>
      </w:tr>
      <w:tr w:rsidR="00B73D43" w:rsidRPr="00562455" w14:paraId="5D17F751" w14:textId="77777777" w:rsidTr="00EE2EE1">
        <w:tc>
          <w:tcPr>
            <w:tcW w:w="4282" w:type="dxa"/>
          </w:tcPr>
          <w:p w14:paraId="2EC46227" w14:textId="641E610A" w:rsidR="00B73D43" w:rsidRDefault="00B73D43" w:rsidP="00562455">
            <w:pPr>
              <w:rPr>
                <w:sz w:val="28"/>
                <w:szCs w:val="28"/>
              </w:rPr>
            </w:pPr>
          </w:p>
          <w:p w14:paraId="3EF62C17" w14:textId="3DD320B8" w:rsidR="00B73D43" w:rsidRPr="002B55FD" w:rsidRDefault="002B55FD" w:rsidP="002B55FD">
            <w:pPr>
              <w:ind w:left="-45"/>
              <w:jc w:val="both"/>
              <w:rPr>
                <w:b/>
                <w:sz w:val="28"/>
                <w:szCs w:val="28"/>
              </w:rPr>
            </w:pPr>
            <w:r w:rsidRPr="002B55FD">
              <w:rPr>
                <w:b/>
                <w:sz w:val="28"/>
                <w:szCs w:val="28"/>
              </w:rPr>
              <w:t xml:space="preserve">Про нерозміщення зовнішньої реклами на підтримуючих, </w:t>
            </w:r>
            <w:r w:rsidRPr="002B55FD">
              <w:rPr>
                <w:b/>
                <w:spacing w:val="9"/>
                <w:sz w:val="28"/>
                <w:szCs w:val="28"/>
              </w:rPr>
              <w:t>опорних та інших елементах контактної мережі та на засобах, обладнанні (у тому числі опорах) мережі зовнішнього освітлення</w:t>
            </w:r>
            <w:r w:rsidRPr="002B55FD">
              <w:rPr>
                <w:b/>
                <w:sz w:val="28"/>
                <w:szCs w:val="28"/>
              </w:rPr>
              <w:t xml:space="preserve"> </w:t>
            </w:r>
            <w:r w:rsidR="00EE2EE1" w:rsidRPr="002B55FD">
              <w:rPr>
                <w:b/>
                <w:sz w:val="28"/>
                <w:szCs w:val="28"/>
              </w:rPr>
              <w:t>на території</w:t>
            </w:r>
            <w:r w:rsidR="00664D7B" w:rsidRPr="002B55FD">
              <w:rPr>
                <w:b/>
                <w:sz w:val="28"/>
                <w:szCs w:val="28"/>
              </w:rPr>
              <w:t xml:space="preserve"> м. Суми</w:t>
            </w:r>
          </w:p>
          <w:p w14:paraId="05064880" w14:textId="77777777" w:rsidR="00664D7B" w:rsidRPr="00562455" w:rsidRDefault="00664D7B" w:rsidP="00562455">
            <w:pPr>
              <w:jc w:val="both"/>
              <w:rPr>
                <w:b/>
                <w:sz w:val="28"/>
                <w:szCs w:val="28"/>
              </w:rPr>
            </w:pPr>
          </w:p>
        </w:tc>
      </w:tr>
    </w:tbl>
    <w:p w14:paraId="7B77CDB1" w14:textId="77777777" w:rsidR="00B73D43" w:rsidRPr="00562455" w:rsidRDefault="00B73D43" w:rsidP="00562455">
      <w:pPr>
        <w:rPr>
          <w:sz w:val="28"/>
          <w:szCs w:val="28"/>
        </w:rPr>
      </w:pPr>
    </w:p>
    <w:p w14:paraId="3E1AF563" w14:textId="6053F800" w:rsidR="00B73D43" w:rsidRPr="00562455" w:rsidRDefault="00B73D43" w:rsidP="00562455">
      <w:pPr>
        <w:pStyle w:val="a9"/>
        <w:jc w:val="both"/>
        <w:rPr>
          <w:spacing w:val="-1"/>
          <w:sz w:val="28"/>
          <w:szCs w:val="28"/>
        </w:rPr>
      </w:pPr>
      <w:r w:rsidRPr="00562455">
        <w:rPr>
          <w:b/>
          <w:sz w:val="28"/>
          <w:szCs w:val="28"/>
        </w:rPr>
        <w:tab/>
      </w:r>
      <w:r w:rsidR="00EE2EE1" w:rsidRPr="00562455">
        <w:rPr>
          <w:sz w:val="28"/>
          <w:szCs w:val="28"/>
        </w:rPr>
        <w:t>В</w:t>
      </w:r>
      <w:r w:rsidR="00664D7B" w:rsidRPr="00562455">
        <w:rPr>
          <w:spacing w:val="-1"/>
          <w:sz w:val="28"/>
          <w:szCs w:val="28"/>
        </w:rPr>
        <w:t xml:space="preserve">раховуючи неодноразові звернення КП </w:t>
      </w:r>
      <w:r w:rsidR="00633581" w:rsidRPr="00562455">
        <w:rPr>
          <w:spacing w:val="-1"/>
          <w:sz w:val="28"/>
          <w:szCs w:val="28"/>
        </w:rPr>
        <w:t xml:space="preserve">СМР </w:t>
      </w:r>
      <w:r w:rsidR="00664D7B" w:rsidRPr="00562455">
        <w:rPr>
          <w:spacing w:val="-1"/>
          <w:sz w:val="28"/>
          <w:szCs w:val="28"/>
        </w:rPr>
        <w:t>«</w:t>
      </w:r>
      <w:proofErr w:type="spellStart"/>
      <w:r w:rsidR="00664D7B" w:rsidRPr="00562455">
        <w:rPr>
          <w:spacing w:val="-1"/>
          <w:sz w:val="28"/>
          <w:szCs w:val="28"/>
        </w:rPr>
        <w:t>Електроавтотранс</w:t>
      </w:r>
      <w:proofErr w:type="spellEnd"/>
      <w:r w:rsidR="00664D7B" w:rsidRPr="00562455">
        <w:rPr>
          <w:spacing w:val="-1"/>
          <w:sz w:val="28"/>
          <w:szCs w:val="28"/>
        </w:rPr>
        <w:t>»</w:t>
      </w:r>
      <w:r w:rsidR="000515A9" w:rsidRPr="00562455">
        <w:rPr>
          <w:spacing w:val="-1"/>
          <w:sz w:val="28"/>
          <w:szCs w:val="28"/>
        </w:rPr>
        <w:t xml:space="preserve"> </w:t>
      </w:r>
      <w:r w:rsidR="00EE2EE1" w:rsidRPr="00562455">
        <w:rPr>
          <w:sz w:val="28"/>
          <w:szCs w:val="28"/>
        </w:rPr>
        <w:t xml:space="preserve">та </w:t>
      </w:r>
      <w:r w:rsidR="005D474E" w:rsidRPr="00562455">
        <w:rPr>
          <w:sz w:val="28"/>
          <w:szCs w:val="28"/>
        </w:rPr>
        <w:t xml:space="preserve"> </w:t>
      </w:r>
      <w:r w:rsidR="000515A9" w:rsidRPr="00562455">
        <w:rPr>
          <w:sz w:val="28"/>
          <w:szCs w:val="28"/>
        </w:rPr>
        <w:t xml:space="preserve">              </w:t>
      </w:r>
      <w:r w:rsidR="00EE2EE1" w:rsidRPr="00562455">
        <w:rPr>
          <w:sz w:val="28"/>
          <w:szCs w:val="28"/>
        </w:rPr>
        <w:t xml:space="preserve">КП </w:t>
      </w:r>
      <w:r w:rsidR="00A50FE3" w:rsidRPr="00562455">
        <w:rPr>
          <w:sz w:val="28"/>
          <w:szCs w:val="28"/>
        </w:rPr>
        <w:t xml:space="preserve">ЕЗО </w:t>
      </w:r>
      <w:r w:rsidR="00EE2EE1" w:rsidRPr="00562455">
        <w:rPr>
          <w:sz w:val="28"/>
          <w:szCs w:val="28"/>
        </w:rPr>
        <w:t>«</w:t>
      </w:r>
      <w:proofErr w:type="spellStart"/>
      <w:r w:rsidR="00EE2EE1" w:rsidRPr="00562455">
        <w:rPr>
          <w:sz w:val="28"/>
          <w:szCs w:val="28"/>
        </w:rPr>
        <w:t>Міськсвітло</w:t>
      </w:r>
      <w:proofErr w:type="spellEnd"/>
      <w:r w:rsidR="00EE2EE1" w:rsidRPr="00562455">
        <w:rPr>
          <w:sz w:val="28"/>
          <w:szCs w:val="28"/>
        </w:rPr>
        <w:t>»</w:t>
      </w:r>
      <w:r w:rsidR="00A50FE3" w:rsidRPr="00562455">
        <w:rPr>
          <w:sz w:val="28"/>
          <w:szCs w:val="28"/>
        </w:rPr>
        <w:t xml:space="preserve"> СМР</w:t>
      </w:r>
      <w:r w:rsidR="00EE2EE1" w:rsidRPr="00562455">
        <w:rPr>
          <w:sz w:val="28"/>
          <w:szCs w:val="28"/>
        </w:rPr>
        <w:t xml:space="preserve"> </w:t>
      </w:r>
      <w:r w:rsidR="00CF502B">
        <w:rPr>
          <w:sz w:val="28"/>
          <w:szCs w:val="28"/>
        </w:rPr>
        <w:t>з питань</w:t>
      </w:r>
      <w:r w:rsidR="005D474E" w:rsidRPr="00562455">
        <w:rPr>
          <w:sz w:val="28"/>
          <w:szCs w:val="28"/>
        </w:rPr>
        <w:t xml:space="preserve"> не</w:t>
      </w:r>
      <w:r w:rsidR="00664D7B" w:rsidRPr="00562455">
        <w:rPr>
          <w:sz w:val="28"/>
          <w:szCs w:val="28"/>
        </w:rPr>
        <w:t xml:space="preserve">розміщення </w:t>
      </w:r>
      <w:r w:rsidR="00A06020">
        <w:rPr>
          <w:sz w:val="28"/>
          <w:szCs w:val="28"/>
        </w:rPr>
        <w:t xml:space="preserve">зовнішньої реклами </w:t>
      </w:r>
      <w:r w:rsidR="00664D7B" w:rsidRPr="00562455">
        <w:rPr>
          <w:sz w:val="28"/>
          <w:szCs w:val="28"/>
        </w:rPr>
        <w:t xml:space="preserve">на підтримуючих, </w:t>
      </w:r>
      <w:r w:rsidR="00664D7B" w:rsidRPr="00562455">
        <w:rPr>
          <w:spacing w:val="9"/>
          <w:sz w:val="28"/>
          <w:szCs w:val="28"/>
        </w:rPr>
        <w:t>опорних та інших елементах кон</w:t>
      </w:r>
      <w:r w:rsidR="005D474E" w:rsidRPr="00562455">
        <w:rPr>
          <w:spacing w:val="9"/>
          <w:sz w:val="28"/>
          <w:szCs w:val="28"/>
        </w:rPr>
        <w:t>тактної мережі</w:t>
      </w:r>
      <w:r w:rsidR="005D1B98" w:rsidRPr="00562455">
        <w:rPr>
          <w:spacing w:val="9"/>
          <w:sz w:val="28"/>
          <w:szCs w:val="28"/>
        </w:rPr>
        <w:t>,</w:t>
      </w:r>
      <w:r w:rsidR="005D474E" w:rsidRPr="00562455">
        <w:rPr>
          <w:spacing w:val="9"/>
          <w:sz w:val="28"/>
          <w:szCs w:val="28"/>
        </w:rPr>
        <w:t xml:space="preserve"> та </w:t>
      </w:r>
      <w:r w:rsidR="005D1B98" w:rsidRPr="00562455">
        <w:rPr>
          <w:spacing w:val="9"/>
          <w:sz w:val="28"/>
          <w:szCs w:val="28"/>
        </w:rPr>
        <w:t xml:space="preserve">на засобах, обладнанні (у тому числі опорах) </w:t>
      </w:r>
      <w:r w:rsidR="005D474E" w:rsidRPr="00562455">
        <w:rPr>
          <w:spacing w:val="9"/>
          <w:sz w:val="28"/>
          <w:szCs w:val="28"/>
        </w:rPr>
        <w:t>мережі зовнішнього освітлення</w:t>
      </w:r>
      <w:r w:rsidR="00664D7B" w:rsidRPr="00562455">
        <w:rPr>
          <w:spacing w:val="9"/>
          <w:sz w:val="28"/>
          <w:szCs w:val="28"/>
        </w:rPr>
        <w:t>,</w:t>
      </w:r>
      <w:r w:rsidR="000515A9" w:rsidRPr="00562455">
        <w:rPr>
          <w:spacing w:val="9"/>
          <w:sz w:val="28"/>
          <w:szCs w:val="28"/>
        </w:rPr>
        <w:t xml:space="preserve"> </w:t>
      </w:r>
      <w:r w:rsidR="00664D7B" w:rsidRPr="00562455">
        <w:rPr>
          <w:sz w:val="28"/>
          <w:szCs w:val="28"/>
        </w:rPr>
        <w:t>відповідно до ДСТУ 3587-97 «Безпека дорожн</w:t>
      </w:r>
      <w:r w:rsidR="000515A9" w:rsidRPr="00562455">
        <w:rPr>
          <w:sz w:val="28"/>
          <w:szCs w:val="28"/>
        </w:rPr>
        <w:t xml:space="preserve">ього руху. Автомобільні дороги, </w:t>
      </w:r>
      <w:r w:rsidR="00664D7B" w:rsidRPr="00562455">
        <w:rPr>
          <w:sz w:val="28"/>
          <w:szCs w:val="28"/>
        </w:rPr>
        <w:t xml:space="preserve">вулиці та залізничні переїзди. Вимоги до експлуатаційного стану», Закону України «Про рекламу» в частині розміщення зовнішньої реклами із </w:t>
      </w:r>
      <w:r w:rsidR="00664D7B" w:rsidRPr="00562455">
        <w:rPr>
          <w:spacing w:val="-1"/>
          <w:sz w:val="28"/>
          <w:szCs w:val="28"/>
        </w:rPr>
        <w:t xml:space="preserve">дотриманням вимог техніки безпеки та із забезпеченням видимості дорожніх </w:t>
      </w:r>
      <w:r w:rsidR="00664D7B" w:rsidRPr="00562455">
        <w:rPr>
          <w:sz w:val="28"/>
          <w:szCs w:val="28"/>
        </w:rPr>
        <w:t xml:space="preserve">знаків, світлофорів, перехресть, пішохідних переходів, керуючись частиною першою статті 52 Закону України «Про місцеве самоврядування в Україні», </w:t>
      </w:r>
      <w:r w:rsidR="00664D7B" w:rsidRPr="00562455">
        <w:rPr>
          <w:b/>
          <w:bCs/>
          <w:spacing w:val="-1"/>
          <w:sz w:val="28"/>
          <w:szCs w:val="28"/>
        </w:rPr>
        <w:t>виконавчий комітет Сумської міської ради</w:t>
      </w:r>
      <w:r w:rsidR="00664D7B" w:rsidRPr="00562455">
        <w:rPr>
          <w:sz w:val="28"/>
          <w:szCs w:val="28"/>
        </w:rPr>
        <w:t xml:space="preserve"> </w:t>
      </w:r>
    </w:p>
    <w:p w14:paraId="06C68EEC" w14:textId="04029F94" w:rsidR="00642914" w:rsidRPr="00562455" w:rsidRDefault="00642914" w:rsidP="00562455">
      <w:pPr>
        <w:outlineLvl w:val="0"/>
        <w:rPr>
          <w:b/>
          <w:sz w:val="28"/>
          <w:szCs w:val="28"/>
        </w:rPr>
      </w:pPr>
    </w:p>
    <w:p w14:paraId="7AFA3B32" w14:textId="5358CDFF" w:rsidR="00642914" w:rsidRPr="00562455" w:rsidRDefault="00B73D43" w:rsidP="00562455">
      <w:pPr>
        <w:jc w:val="center"/>
        <w:outlineLvl w:val="0"/>
        <w:rPr>
          <w:b/>
          <w:sz w:val="28"/>
          <w:szCs w:val="28"/>
        </w:rPr>
      </w:pPr>
      <w:r w:rsidRPr="00562455">
        <w:rPr>
          <w:b/>
          <w:sz w:val="28"/>
          <w:szCs w:val="28"/>
        </w:rPr>
        <w:t>ВИРІШИВ:</w:t>
      </w:r>
    </w:p>
    <w:p w14:paraId="6F20FB8B" w14:textId="7CD9A864" w:rsidR="00E33799" w:rsidRPr="00562455" w:rsidRDefault="00E33799" w:rsidP="00562455">
      <w:pPr>
        <w:jc w:val="both"/>
        <w:rPr>
          <w:sz w:val="28"/>
          <w:szCs w:val="28"/>
        </w:rPr>
      </w:pPr>
    </w:p>
    <w:p w14:paraId="4E227711" w14:textId="111E1A5D" w:rsidR="007F476C" w:rsidRPr="00562455" w:rsidRDefault="00664D7B" w:rsidP="00562455">
      <w:pPr>
        <w:pStyle w:val="a5"/>
        <w:numPr>
          <w:ilvl w:val="0"/>
          <w:numId w:val="16"/>
        </w:numPr>
        <w:ind w:left="0" w:firstLine="284"/>
        <w:jc w:val="both"/>
        <w:rPr>
          <w:sz w:val="28"/>
          <w:szCs w:val="28"/>
        </w:rPr>
      </w:pPr>
      <w:r w:rsidRPr="00562455">
        <w:rPr>
          <w:sz w:val="28"/>
          <w:szCs w:val="28"/>
        </w:rPr>
        <w:t xml:space="preserve">Припинити надання дозволів на розміщення </w:t>
      </w:r>
      <w:r w:rsidR="00CF502B">
        <w:rPr>
          <w:sz w:val="28"/>
          <w:szCs w:val="28"/>
        </w:rPr>
        <w:t xml:space="preserve">зовнішньої реклами </w:t>
      </w:r>
      <w:r w:rsidRPr="00562455">
        <w:rPr>
          <w:sz w:val="28"/>
          <w:szCs w:val="28"/>
        </w:rPr>
        <w:t>на підтримуючих, опорних та інших елементах контактної мережі</w:t>
      </w:r>
      <w:r w:rsidR="005D474E" w:rsidRPr="00562455">
        <w:rPr>
          <w:sz w:val="28"/>
          <w:szCs w:val="28"/>
        </w:rPr>
        <w:t xml:space="preserve"> та </w:t>
      </w:r>
      <w:r w:rsidR="005D1B98" w:rsidRPr="00562455">
        <w:rPr>
          <w:sz w:val="28"/>
          <w:szCs w:val="28"/>
        </w:rPr>
        <w:t xml:space="preserve">на засобах, обладнанні (у тому числі опорах) </w:t>
      </w:r>
      <w:r w:rsidR="005D474E" w:rsidRPr="00562455">
        <w:rPr>
          <w:sz w:val="28"/>
          <w:szCs w:val="28"/>
        </w:rPr>
        <w:t>мережі зовнішнього освітлення</w:t>
      </w:r>
      <w:r w:rsidRPr="00562455">
        <w:rPr>
          <w:sz w:val="28"/>
          <w:szCs w:val="28"/>
        </w:rPr>
        <w:t>.</w:t>
      </w:r>
    </w:p>
    <w:p w14:paraId="079B0139" w14:textId="77777777" w:rsidR="0045200D" w:rsidRPr="00562455" w:rsidRDefault="0045200D" w:rsidP="00562455">
      <w:pPr>
        <w:pStyle w:val="a5"/>
        <w:ind w:left="284"/>
        <w:jc w:val="both"/>
        <w:rPr>
          <w:sz w:val="28"/>
          <w:szCs w:val="28"/>
        </w:rPr>
      </w:pPr>
    </w:p>
    <w:p w14:paraId="58411AB5" w14:textId="4C2D679D" w:rsidR="00562455" w:rsidRDefault="005D1B98" w:rsidP="00562455">
      <w:pPr>
        <w:pStyle w:val="a5"/>
        <w:numPr>
          <w:ilvl w:val="0"/>
          <w:numId w:val="16"/>
        </w:numPr>
        <w:ind w:left="0" w:firstLine="284"/>
        <w:jc w:val="both"/>
        <w:rPr>
          <w:sz w:val="28"/>
          <w:szCs w:val="28"/>
        </w:rPr>
      </w:pPr>
      <w:r w:rsidRPr="00562455">
        <w:rPr>
          <w:sz w:val="28"/>
          <w:szCs w:val="28"/>
        </w:rPr>
        <w:t>В</w:t>
      </w:r>
      <w:r w:rsidR="00BF3598" w:rsidRPr="00562455">
        <w:rPr>
          <w:sz w:val="28"/>
          <w:szCs w:val="28"/>
        </w:rPr>
        <w:t xml:space="preserve">становити, що дозволи на розміщення </w:t>
      </w:r>
      <w:r w:rsidR="00CF502B">
        <w:rPr>
          <w:sz w:val="28"/>
          <w:szCs w:val="28"/>
        </w:rPr>
        <w:t xml:space="preserve">зовнішньої реклами </w:t>
      </w:r>
      <w:r w:rsidR="00BF3598" w:rsidRPr="00562455">
        <w:rPr>
          <w:sz w:val="28"/>
          <w:szCs w:val="28"/>
        </w:rPr>
        <w:t xml:space="preserve">(незалежно від їх типу) на підтримуючих, опорних та інших елементах контактної мережі </w:t>
      </w:r>
      <w:r w:rsidRPr="00562455">
        <w:rPr>
          <w:spacing w:val="9"/>
          <w:sz w:val="28"/>
          <w:szCs w:val="28"/>
        </w:rPr>
        <w:t>та на засобах, обладнанні (у тому числі опорах) мережі зовнішнього освітлення</w:t>
      </w:r>
      <w:r w:rsidR="00D10E57" w:rsidRPr="00562455">
        <w:rPr>
          <w:spacing w:val="9"/>
          <w:sz w:val="28"/>
          <w:szCs w:val="28"/>
        </w:rPr>
        <w:t xml:space="preserve">, </w:t>
      </w:r>
      <w:r w:rsidR="00BB2C93" w:rsidRPr="00562455">
        <w:rPr>
          <w:sz w:val="28"/>
          <w:szCs w:val="28"/>
        </w:rPr>
        <w:t xml:space="preserve">надані до набрання чинності цим рішенням, є дійсними </w:t>
      </w:r>
      <w:r w:rsidR="0045200D" w:rsidRPr="00562455">
        <w:rPr>
          <w:sz w:val="28"/>
          <w:szCs w:val="28"/>
        </w:rPr>
        <w:t>до закінчення строку їх дії та</w:t>
      </w:r>
      <w:r w:rsidR="00BB2C93" w:rsidRPr="00562455">
        <w:rPr>
          <w:sz w:val="28"/>
          <w:szCs w:val="28"/>
        </w:rPr>
        <w:t xml:space="preserve"> не підлягають продовженню.</w:t>
      </w:r>
    </w:p>
    <w:p w14:paraId="50B2F54A" w14:textId="0CFB198D" w:rsidR="00562455" w:rsidRPr="00562455" w:rsidRDefault="00562455" w:rsidP="00562455">
      <w:pPr>
        <w:jc w:val="both"/>
        <w:rPr>
          <w:sz w:val="28"/>
          <w:szCs w:val="28"/>
        </w:rPr>
      </w:pPr>
    </w:p>
    <w:p w14:paraId="54491508" w14:textId="79C8F496" w:rsidR="00E33799" w:rsidRPr="00562455" w:rsidRDefault="00F0612A" w:rsidP="00562455">
      <w:pPr>
        <w:pStyle w:val="a5"/>
        <w:numPr>
          <w:ilvl w:val="0"/>
          <w:numId w:val="16"/>
        </w:numPr>
        <w:ind w:left="0" w:firstLine="284"/>
        <w:jc w:val="both"/>
        <w:rPr>
          <w:sz w:val="28"/>
          <w:szCs w:val="28"/>
        </w:rPr>
      </w:pPr>
      <w:r w:rsidRPr="00562455">
        <w:rPr>
          <w:color w:val="000000"/>
          <w:sz w:val="28"/>
          <w:szCs w:val="28"/>
        </w:rPr>
        <w:lastRenderedPageBreak/>
        <w:t xml:space="preserve">Балансоутримувачам </w:t>
      </w:r>
      <w:r w:rsidR="00642914" w:rsidRPr="00562455">
        <w:rPr>
          <w:sz w:val="28"/>
          <w:szCs w:val="28"/>
        </w:rPr>
        <w:t>опор</w:t>
      </w:r>
      <w:r w:rsidRPr="00562455">
        <w:rPr>
          <w:color w:val="000000"/>
          <w:sz w:val="28"/>
          <w:szCs w:val="28"/>
        </w:rPr>
        <w:t xml:space="preserve">: </w:t>
      </w:r>
      <w:r w:rsidRPr="00562455">
        <w:rPr>
          <w:spacing w:val="-1"/>
          <w:sz w:val="28"/>
          <w:szCs w:val="28"/>
        </w:rPr>
        <w:t xml:space="preserve">КП </w:t>
      </w:r>
      <w:r w:rsidR="00D10E57" w:rsidRPr="00562455">
        <w:rPr>
          <w:spacing w:val="-1"/>
          <w:sz w:val="28"/>
          <w:szCs w:val="28"/>
        </w:rPr>
        <w:t xml:space="preserve">СМР </w:t>
      </w:r>
      <w:r w:rsidRPr="00562455">
        <w:rPr>
          <w:spacing w:val="-1"/>
          <w:sz w:val="28"/>
          <w:szCs w:val="28"/>
        </w:rPr>
        <w:t>«</w:t>
      </w:r>
      <w:proofErr w:type="spellStart"/>
      <w:r w:rsidRPr="00562455">
        <w:rPr>
          <w:spacing w:val="-1"/>
          <w:sz w:val="28"/>
          <w:szCs w:val="28"/>
        </w:rPr>
        <w:t>Електроавтотранс</w:t>
      </w:r>
      <w:proofErr w:type="spellEnd"/>
      <w:r w:rsidRPr="00562455">
        <w:rPr>
          <w:spacing w:val="-1"/>
          <w:sz w:val="28"/>
          <w:szCs w:val="28"/>
        </w:rPr>
        <w:t>» (</w:t>
      </w:r>
      <w:proofErr w:type="spellStart"/>
      <w:r w:rsidRPr="00562455">
        <w:rPr>
          <w:spacing w:val="-1"/>
          <w:sz w:val="28"/>
          <w:szCs w:val="28"/>
        </w:rPr>
        <w:t>Однорог</w:t>
      </w:r>
      <w:proofErr w:type="spellEnd"/>
      <w:r w:rsidRPr="00562455">
        <w:rPr>
          <w:spacing w:val="-1"/>
          <w:sz w:val="28"/>
          <w:szCs w:val="28"/>
        </w:rPr>
        <w:t xml:space="preserve"> В.Л.) </w:t>
      </w:r>
      <w:r w:rsidR="00D10E57" w:rsidRPr="00562455">
        <w:rPr>
          <w:sz w:val="28"/>
          <w:szCs w:val="28"/>
        </w:rPr>
        <w:t>та</w:t>
      </w:r>
      <w:r w:rsidR="00BB2C93" w:rsidRPr="00562455">
        <w:rPr>
          <w:sz w:val="28"/>
          <w:szCs w:val="28"/>
        </w:rPr>
        <w:t xml:space="preserve"> </w:t>
      </w:r>
      <w:r w:rsidRPr="00562455">
        <w:rPr>
          <w:sz w:val="28"/>
          <w:szCs w:val="28"/>
        </w:rPr>
        <w:t xml:space="preserve">КП </w:t>
      </w:r>
      <w:r w:rsidR="00E33799" w:rsidRPr="00562455">
        <w:rPr>
          <w:sz w:val="28"/>
          <w:szCs w:val="28"/>
        </w:rPr>
        <w:t xml:space="preserve">ЕЗО </w:t>
      </w:r>
      <w:r w:rsidRPr="00562455">
        <w:rPr>
          <w:sz w:val="28"/>
          <w:szCs w:val="28"/>
        </w:rPr>
        <w:t>«</w:t>
      </w:r>
      <w:proofErr w:type="spellStart"/>
      <w:r w:rsidRPr="00562455">
        <w:rPr>
          <w:sz w:val="28"/>
          <w:szCs w:val="28"/>
        </w:rPr>
        <w:t>Міськсвітло</w:t>
      </w:r>
      <w:proofErr w:type="spellEnd"/>
      <w:r w:rsidRPr="00562455">
        <w:rPr>
          <w:sz w:val="28"/>
          <w:szCs w:val="28"/>
        </w:rPr>
        <w:t>»</w:t>
      </w:r>
      <w:r w:rsidR="00E33799" w:rsidRPr="00562455">
        <w:rPr>
          <w:sz w:val="28"/>
          <w:szCs w:val="28"/>
        </w:rPr>
        <w:t xml:space="preserve"> СМР</w:t>
      </w:r>
      <w:r w:rsidRPr="00562455">
        <w:rPr>
          <w:sz w:val="28"/>
          <w:szCs w:val="28"/>
        </w:rPr>
        <w:t xml:space="preserve"> (</w:t>
      </w:r>
      <w:proofErr w:type="spellStart"/>
      <w:r w:rsidRPr="00562455">
        <w:rPr>
          <w:sz w:val="28"/>
          <w:szCs w:val="28"/>
        </w:rPr>
        <w:t>Велитченко</w:t>
      </w:r>
      <w:proofErr w:type="spellEnd"/>
      <w:r w:rsidRPr="00562455">
        <w:rPr>
          <w:sz w:val="28"/>
          <w:szCs w:val="28"/>
        </w:rPr>
        <w:t xml:space="preserve"> Е.В.)</w:t>
      </w:r>
      <w:r w:rsidR="003B631E" w:rsidRPr="00562455">
        <w:rPr>
          <w:sz w:val="28"/>
          <w:szCs w:val="28"/>
        </w:rPr>
        <w:t>:</w:t>
      </w:r>
    </w:p>
    <w:p w14:paraId="12665829" w14:textId="04ECD35F" w:rsidR="00562455" w:rsidRDefault="00D10E57" w:rsidP="00562455">
      <w:pPr>
        <w:pStyle w:val="a5"/>
        <w:numPr>
          <w:ilvl w:val="1"/>
          <w:numId w:val="16"/>
        </w:numPr>
        <w:ind w:left="0" w:firstLine="284"/>
        <w:jc w:val="both"/>
        <w:rPr>
          <w:sz w:val="28"/>
          <w:szCs w:val="28"/>
        </w:rPr>
      </w:pPr>
      <w:r w:rsidRPr="00562455">
        <w:rPr>
          <w:color w:val="000000"/>
          <w:sz w:val="28"/>
          <w:szCs w:val="28"/>
        </w:rPr>
        <w:t xml:space="preserve"> З</w:t>
      </w:r>
      <w:r w:rsidR="00BB2C93" w:rsidRPr="00562455">
        <w:rPr>
          <w:color w:val="000000"/>
          <w:sz w:val="28"/>
          <w:szCs w:val="28"/>
        </w:rPr>
        <w:t xml:space="preserve">дійснювати функції моніторингу рекламних засобів, що розміщуються на </w:t>
      </w:r>
      <w:r w:rsidR="00BB2C93" w:rsidRPr="00562455">
        <w:rPr>
          <w:sz w:val="28"/>
          <w:szCs w:val="28"/>
        </w:rPr>
        <w:t xml:space="preserve">підтримуючих, </w:t>
      </w:r>
      <w:r w:rsidR="00BB2C93" w:rsidRPr="00562455">
        <w:rPr>
          <w:spacing w:val="9"/>
          <w:sz w:val="28"/>
          <w:szCs w:val="28"/>
        </w:rPr>
        <w:t>опорних та інших елементах контактної мережі</w:t>
      </w:r>
      <w:r w:rsidR="00407B08" w:rsidRPr="00562455">
        <w:rPr>
          <w:spacing w:val="9"/>
          <w:sz w:val="28"/>
          <w:szCs w:val="28"/>
        </w:rPr>
        <w:t xml:space="preserve">, а також </w:t>
      </w:r>
      <w:r w:rsidR="00BB2C93" w:rsidRPr="00562455">
        <w:rPr>
          <w:sz w:val="28"/>
          <w:szCs w:val="28"/>
        </w:rPr>
        <w:t>на засобах, обладнанні (у тому числі опорах) мережі зовнішнього освітлення</w:t>
      </w:r>
      <w:r w:rsidR="003B631E" w:rsidRPr="00562455">
        <w:rPr>
          <w:sz w:val="28"/>
          <w:szCs w:val="28"/>
        </w:rPr>
        <w:t>;</w:t>
      </w:r>
    </w:p>
    <w:p w14:paraId="0C75951E" w14:textId="77777777" w:rsidR="00CF502B" w:rsidRPr="00562455" w:rsidRDefault="00CF502B" w:rsidP="00CF502B">
      <w:pPr>
        <w:pStyle w:val="a5"/>
        <w:ind w:left="284"/>
        <w:jc w:val="both"/>
        <w:rPr>
          <w:sz w:val="28"/>
          <w:szCs w:val="28"/>
        </w:rPr>
      </w:pPr>
    </w:p>
    <w:p w14:paraId="5219D0A9" w14:textId="06D9DB28" w:rsidR="00E33799" w:rsidRPr="00562455" w:rsidRDefault="00D10E57" w:rsidP="00562455">
      <w:pPr>
        <w:pStyle w:val="a5"/>
        <w:numPr>
          <w:ilvl w:val="1"/>
          <w:numId w:val="16"/>
        </w:numPr>
        <w:ind w:left="0" w:firstLine="284"/>
        <w:jc w:val="both"/>
        <w:rPr>
          <w:sz w:val="28"/>
          <w:szCs w:val="28"/>
        </w:rPr>
      </w:pPr>
      <w:r w:rsidRPr="00562455">
        <w:rPr>
          <w:sz w:val="28"/>
          <w:szCs w:val="28"/>
        </w:rPr>
        <w:t xml:space="preserve"> У</w:t>
      </w:r>
      <w:r w:rsidR="00BB2C93" w:rsidRPr="00562455">
        <w:rPr>
          <w:sz w:val="28"/>
          <w:szCs w:val="28"/>
        </w:rPr>
        <w:t xml:space="preserve"> випадку закінчення терміну дії дозволу</w:t>
      </w:r>
      <w:r w:rsidR="00F51D41" w:rsidRPr="00562455">
        <w:rPr>
          <w:sz w:val="28"/>
          <w:szCs w:val="28"/>
        </w:rPr>
        <w:t xml:space="preserve"> на розміщення зовні</w:t>
      </w:r>
      <w:r w:rsidR="00636512" w:rsidRPr="00562455">
        <w:rPr>
          <w:sz w:val="28"/>
          <w:szCs w:val="28"/>
        </w:rPr>
        <w:t>ш</w:t>
      </w:r>
      <w:r w:rsidR="00F51D41" w:rsidRPr="00562455">
        <w:rPr>
          <w:sz w:val="28"/>
          <w:szCs w:val="28"/>
        </w:rPr>
        <w:t>ньої реклами</w:t>
      </w:r>
      <w:r w:rsidR="0051722C" w:rsidRPr="00562455">
        <w:rPr>
          <w:sz w:val="28"/>
          <w:szCs w:val="28"/>
        </w:rPr>
        <w:t xml:space="preserve"> на опорних, інших елементах контактної мережі та на засобах, обладнанні мережі зовнішнього освітлення</w:t>
      </w:r>
      <w:r w:rsidR="003B631E" w:rsidRPr="00562455">
        <w:rPr>
          <w:sz w:val="28"/>
          <w:szCs w:val="28"/>
        </w:rPr>
        <w:t xml:space="preserve">, або у разі </w:t>
      </w:r>
      <w:r w:rsidR="003B631E" w:rsidRPr="00562455">
        <w:rPr>
          <w:color w:val="000000"/>
          <w:sz w:val="28"/>
          <w:szCs w:val="28"/>
        </w:rPr>
        <w:t xml:space="preserve">виявлення самовільно встановлених </w:t>
      </w:r>
      <w:proofErr w:type="spellStart"/>
      <w:r w:rsidR="003B631E" w:rsidRPr="00562455">
        <w:rPr>
          <w:color w:val="000000"/>
          <w:sz w:val="28"/>
          <w:szCs w:val="28"/>
        </w:rPr>
        <w:t>рекламоносіїв</w:t>
      </w:r>
      <w:proofErr w:type="spellEnd"/>
      <w:r w:rsidR="00562455" w:rsidRPr="00562455">
        <w:rPr>
          <w:color w:val="000000"/>
          <w:sz w:val="28"/>
          <w:szCs w:val="28"/>
        </w:rPr>
        <w:t xml:space="preserve"> на вищезазначених конструкціях</w:t>
      </w:r>
      <w:r w:rsidR="003B631E" w:rsidRPr="00562455">
        <w:rPr>
          <w:color w:val="000000"/>
          <w:sz w:val="28"/>
          <w:szCs w:val="28"/>
        </w:rPr>
        <w:t>,</w:t>
      </w:r>
      <w:r w:rsidR="00BB2C93" w:rsidRPr="00562455">
        <w:rPr>
          <w:sz w:val="28"/>
          <w:szCs w:val="28"/>
        </w:rPr>
        <w:t xml:space="preserve"> </w:t>
      </w:r>
      <w:r w:rsidR="00562455" w:rsidRPr="00562455">
        <w:rPr>
          <w:sz w:val="28"/>
          <w:szCs w:val="28"/>
        </w:rPr>
        <w:t>вживати заходів щодо їх демонтажу.</w:t>
      </w:r>
    </w:p>
    <w:p w14:paraId="6EB9407B" w14:textId="77777777" w:rsidR="00562455" w:rsidRPr="00562455" w:rsidRDefault="00562455" w:rsidP="00562455">
      <w:pPr>
        <w:pStyle w:val="a5"/>
        <w:ind w:left="284"/>
        <w:jc w:val="both"/>
        <w:rPr>
          <w:sz w:val="28"/>
          <w:szCs w:val="28"/>
          <w:highlight w:val="yellow"/>
        </w:rPr>
      </w:pPr>
    </w:p>
    <w:p w14:paraId="2E41BC71" w14:textId="151B8F96" w:rsidR="00BF3598" w:rsidRPr="00562455" w:rsidRDefault="00664D7B" w:rsidP="00562455">
      <w:pPr>
        <w:pStyle w:val="a5"/>
        <w:numPr>
          <w:ilvl w:val="0"/>
          <w:numId w:val="16"/>
        </w:numPr>
        <w:ind w:left="0" w:firstLine="284"/>
        <w:jc w:val="both"/>
        <w:rPr>
          <w:sz w:val="28"/>
          <w:szCs w:val="28"/>
        </w:rPr>
      </w:pPr>
      <w:r w:rsidRPr="00562455">
        <w:rPr>
          <w:sz w:val="28"/>
          <w:szCs w:val="28"/>
        </w:rPr>
        <w:t>Рішення вступає в силу з моменту оприлюднення.</w:t>
      </w:r>
    </w:p>
    <w:p w14:paraId="5D601A73" w14:textId="77777777" w:rsidR="00E33799" w:rsidRPr="00562455" w:rsidRDefault="00E33799" w:rsidP="00562455">
      <w:pPr>
        <w:pStyle w:val="a5"/>
        <w:ind w:left="284"/>
        <w:jc w:val="both"/>
        <w:rPr>
          <w:sz w:val="28"/>
          <w:szCs w:val="28"/>
        </w:rPr>
      </w:pPr>
    </w:p>
    <w:p w14:paraId="2AE70156" w14:textId="77777777" w:rsidR="000E0096" w:rsidRPr="00562455" w:rsidRDefault="00664D7B" w:rsidP="00562455">
      <w:pPr>
        <w:pStyle w:val="a5"/>
        <w:numPr>
          <w:ilvl w:val="0"/>
          <w:numId w:val="16"/>
        </w:numPr>
        <w:ind w:left="0" w:firstLine="284"/>
        <w:jc w:val="both"/>
        <w:rPr>
          <w:sz w:val="28"/>
          <w:szCs w:val="28"/>
        </w:rPr>
      </w:pPr>
      <w:r w:rsidRPr="00562455">
        <w:rPr>
          <w:sz w:val="28"/>
          <w:szCs w:val="28"/>
        </w:rPr>
        <w:t>Контроль за виконанням цього рішення покласти на першого заступника міського голови Войтенка В.В.</w:t>
      </w:r>
    </w:p>
    <w:p w14:paraId="7B2B0240" w14:textId="77777777" w:rsidR="00380AE6" w:rsidRPr="00562455" w:rsidRDefault="00380AE6" w:rsidP="00562455">
      <w:pPr>
        <w:jc w:val="both"/>
        <w:rPr>
          <w:sz w:val="28"/>
          <w:szCs w:val="28"/>
        </w:rPr>
      </w:pPr>
    </w:p>
    <w:p w14:paraId="3C02526D" w14:textId="77777777" w:rsidR="00977605" w:rsidRPr="00562455" w:rsidRDefault="00977605" w:rsidP="00562455">
      <w:pPr>
        <w:jc w:val="both"/>
        <w:rPr>
          <w:sz w:val="28"/>
          <w:szCs w:val="28"/>
        </w:rPr>
      </w:pPr>
    </w:p>
    <w:p w14:paraId="4020FF22" w14:textId="77777777" w:rsidR="00977605" w:rsidRPr="00562455" w:rsidRDefault="00977605" w:rsidP="00562455">
      <w:pPr>
        <w:jc w:val="both"/>
        <w:rPr>
          <w:sz w:val="28"/>
          <w:szCs w:val="28"/>
        </w:rPr>
      </w:pPr>
    </w:p>
    <w:p w14:paraId="4CE88588" w14:textId="77777777" w:rsidR="00371088" w:rsidRPr="00562455" w:rsidRDefault="00371088" w:rsidP="00562455">
      <w:pPr>
        <w:jc w:val="both"/>
        <w:rPr>
          <w:sz w:val="28"/>
          <w:szCs w:val="28"/>
        </w:rPr>
      </w:pPr>
    </w:p>
    <w:p w14:paraId="0F578581" w14:textId="7857F648" w:rsidR="002471F6" w:rsidRDefault="00664D7B" w:rsidP="00562455">
      <w:pPr>
        <w:jc w:val="both"/>
        <w:rPr>
          <w:b/>
          <w:bCs/>
          <w:sz w:val="28"/>
          <w:szCs w:val="28"/>
        </w:rPr>
      </w:pPr>
      <w:r w:rsidRPr="00562455">
        <w:rPr>
          <w:b/>
          <w:bCs/>
          <w:sz w:val="28"/>
          <w:szCs w:val="28"/>
        </w:rPr>
        <w:t>М</w:t>
      </w:r>
      <w:r w:rsidR="002471F6" w:rsidRPr="00562455">
        <w:rPr>
          <w:b/>
          <w:bCs/>
          <w:sz w:val="28"/>
          <w:szCs w:val="28"/>
        </w:rPr>
        <w:t>іськ</w:t>
      </w:r>
      <w:r w:rsidRPr="00562455">
        <w:rPr>
          <w:b/>
          <w:bCs/>
          <w:sz w:val="28"/>
          <w:szCs w:val="28"/>
        </w:rPr>
        <w:t>ий</w:t>
      </w:r>
      <w:r w:rsidR="002471F6" w:rsidRPr="00562455">
        <w:rPr>
          <w:b/>
          <w:bCs/>
          <w:sz w:val="28"/>
          <w:szCs w:val="28"/>
        </w:rPr>
        <w:t xml:space="preserve"> голов</w:t>
      </w:r>
      <w:r w:rsidRPr="00562455">
        <w:rPr>
          <w:b/>
          <w:bCs/>
          <w:sz w:val="28"/>
          <w:szCs w:val="28"/>
        </w:rPr>
        <w:t>а</w:t>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Pr="00562455">
        <w:rPr>
          <w:b/>
          <w:bCs/>
          <w:sz w:val="28"/>
          <w:szCs w:val="28"/>
        </w:rPr>
        <w:tab/>
      </w:r>
      <w:r w:rsidR="002471F6" w:rsidRPr="00562455">
        <w:rPr>
          <w:b/>
          <w:bCs/>
          <w:sz w:val="28"/>
          <w:szCs w:val="28"/>
        </w:rPr>
        <w:tab/>
      </w:r>
      <w:r w:rsidRPr="00562455">
        <w:rPr>
          <w:b/>
          <w:bCs/>
          <w:sz w:val="28"/>
          <w:szCs w:val="28"/>
        </w:rPr>
        <w:t>О</w:t>
      </w:r>
      <w:r w:rsidR="002471F6" w:rsidRPr="00562455">
        <w:rPr>
          <w:b/>
          <w:bCs/>
          <w:sz w:val="28"/>
          <w:szCs w:val="28"/>
        </w:rPr>
        <w:t>.</w:t>
      </w:r>
      <w:r w:rsidRPr="00562455">
        <w:rPr>
          <w:b/>
          <w:bCs/>
          <w:sz w:val="28"/>
          <w:szCs w:val="28"/>
        </w:rPr>
        <w:t>М</w:t>
      </w:r>
      <w:r w:rsidR="002471F6" w:rsidRPr="00562455">
        <w:rPr>
          <w:b/>
          <w:bCs/>
          <w:sz w:val="28"/>
          <w:szCs w:val="28"/>
        </w:rPr>
        <w:t xml:space="preserve">. </w:t>
      </w:r>
      <w:r w:rsidRPr="00562455">
        <w:rPr>
          <w:b/>
          <w:bCs/>
          <w:sz w:val="28"/>
          <w:szCs w:val="28"/>
        </w:rPr>
        <w:t>Лисенко</w:t>
      </w:r>
    </w:p>
    <w:p w14:paraId="4ACCBBC4" w14:textId="61135C3A" w:rsidR="0007362E" w:rsidRDefault="0007362E" w:rsidP="00562455">
      <w:pPr>
        <w:jc w:val="both"/>
        <w:rPr>
          <w:b/>
          <w:bCs/>
          <w:sz w:val="28"/>
          <w:szCs w:val="28"/>
        </w:rPr>
      </w:pPr>
    </w:p>
    <w:p w14:paraId="3EC609DE" w14:textId="77777777" w:rsidR="0007362E" w:rsidRDefault="0007362E" w:rsidP="00562455">
      <w:pPr>
        <w:jc w:val="both"/>
        <w:rPr>
          <w:b/>
          <w:bCs/>
          <w:sz w:val="28"/>
          <w:szCs w:val="28"/>
        </w:rPr>
      </w:pPr>
    </w:p>
    <w:p w14:paraId="1BA46DFB" w14:textId="77777777" w:rsidR="0007362E" w:rsidRPr="00CF502B" w:rsidRDefault="0007362E" w:rsidP="0007362E">
      <w:pPr>
        <w:pBdr>
          <w:bottom w:val="single" w:sz="12" w:space="1" w:color="auto"/>
        </w:pBdr>
        <w:jc w:val="both"/>
        <w:outlineLvl w:val="0"/>
      </w:pPr>
      <w:proofErr w:type="spellStart"/>
      <w:r w:rsidRPr="00CF502B">
        <w:t>Кривцов</w:t>
      </w:r>
      <w:proofErr w:type="spellEnd"/>
      <w:r w:rsidRPr="00CF502B">
        <w:t xml:space="preserve"> А.В.</w:t>
      </w:r>
      <w:r>
        <w:t xml:space="preserve">, </w:t>
      </w:r>
      <w:r w:rsidRPr="00CF502B">
        <w:t>700-103</w:t>
      </w:r>
    </w:p>
    <w:p w14:paraId="0E1BF1AE" w14:textId="77777777" w:rsidR="0007362E" w:rsidRPr="00CF502B" w:rsidRDefault="0007362E" w:rsidP="0007362E">
      <w:pPr>
        <w:jc w:val="both"/>
      </w:pPr>
      <w:r w:rsidRPr="00CF502B">
        <w:t xml:space="preserve">Розіслати: </w:t>
      </w:r>
      <w:proofErr w:type="spellStart"/>
      <w:r w:rsidRPr="00CF502B">
        <w:t>Кривцову</w:t>
      </w:r>
      <w:proofErr w:type="spellEnd"/>
      <w:r w:rsidRPr="00CF502B">
        <w:t xml:space="preserve"> А.В., </w:t>
      </w:r>
      <w:r w:rsidRPr="00CF502B">
        <w:rPr>
          <w:spacing w:val="-1"/>
        </w:rPr>
        <w:t xml:space="preserve">Однорогу В.Л., </w:t>
      </w:r>
      <w:proofErr w:type="spellStart"/>
      <w:r w:rsidRPr="00CF502B">
        <w:t>Велитченку</w:t>
      </w:r>
      <w:proofErr w:type="spellEnd"/>
      <w:r w:rsidRPr="00CF502B">
        <w:t xml:space="preserve"> Е.В.</w:t>
      </w:r>
    </w:p>
    <w:p w14:paraId="23194623" w14:textId="77777777" w:rsidR="0007362E" w:rsidRPr="00562455" w:rsidRDefault="0007362E" w:rsidP="00562455">
      <w:pPr>
        <w:jc w:val="both"/>
        <w:rPr>
          <w:b/>
          <w:bCs/>
          <w:sz w:val="28"/>
          <w:szCs w:val="28"/>
        </w:rPr>
      </w:pPr>
    </w:p>
    <w:p w14:paraId="2BA96A33" w14:textId="47BD9BA5" w:rsidR="00CA24E5" w:rsidRDefault="00CA24E5" w:rsidP="0007362E">
      <w:pPr>
        <w:jc w:val="both"/>
        <w:rPr>
          <w:sz w:val="28"/>
          <w:szCs w:val="28"/>
        </w:rPr>
      </w:pPr>
    </w:p>
    <w:p w14:paraId="5008F1C4" w14:textId="022FCA78" w:rsidR="00CF2480" w:rsidRDefault="00CF2480" w:rsidP="0007362E">
      <w:pPr>
        <w:jc w:val="both"/>
        <w:rPr>
          <w:sz w:val="28"/>
          <w:szCs w:val="28"/>
        </w:rPr>
      </w:pPr>
    </w:p>
    <w:p w14:paraId="7E76FE09" w14:textId="35FC9210" w:rsidR="00CF2480" w:rsidRDefault="00CF2480" w:rsidP="0007362E">
      <w:pPr>
        <w:jc w:val="both"/>
        <w:rPr>
          <w:sz w:val="28"/>
          <w:szCs w:val="28"/>
        </w:rPr>
      </w:pPr>
    </w:p>
    <w:p w14:paraId="357C44DB" w14:textId="7B6A659D" w:rsidR="00CF2480" w:rsidRDefault="00CF2480" w:rsidP="0007362E">
      <w:pPr>
        <w:jc w:val="both"/>
        <w:rPr>
          <w:sz w:val="28"/>
          <w:szCs w:val="28"/>
        </w:rPr>
      </w:pPr>
    </w:p>
    <w:p w14:paraId="3BC932FE" w14:textId="30B616F6" w:rsidR="00CF2480" w:rsidRDefault="00CF2480" w:rsidP="0007362E">
      <w:pPr>
        <w:jc w:val="both"/>
        <w:rPr>
          <w:sz w:val="28"/>
          <w:szCs w:val="28"/>
        </w:rPr>
      </w:pPr>
    </w:p>
    <w:p w14:paraId="549BA94B" w14:textId="72BA787C" w:rsidR="00CF2480" w:rsidRDefault="00CF2480" w:rsidP="0007362E">
      <w:pPr>
        <w:jc w:val="both"/>
        <w:rPr>
          <w:sz w:val="28"/>
          <w:szCs w:val="28"/>
        </w:rPr>
      </w:pPr>
    </w:p>
    <w:p w14:paraId="76AD2FDE" w14:textId="6D125D8B" w:rsidR="00CF2480" w:rsidRDefault="00CF2480" w:rsidP="0007362E">
      <w:pPr>
        <w:jc w:val="both"/>
        <w:rPr>
          <w:sz w:val="28"/>
          <w:szCs w:val="28"/>
        </w:rPr>
      </w:pPr>
    </w:p>
    <w:p w14:paraId="749B8E1C" w14:textId="0EA7C8AD" w:rsidR="00CF2480" w:rsidRDefault="00CF2480" w:rsidP="0007362E">
      <w:pPr>
        <w:jc w:val="both"/>
        <w:rPr>
          <w:sz w:val="28"/>
          <w:szCs w:val="28"/>
        </w:rPr>
      </w:pPr>
    </w:p>
    <w:p w14:paraId="55CA5C1A" w14:textId="4F3C47AE" w:rsidR="00CF2480" w:rsidRDefault="00CF2480" w:rsidP="0007362E">
      <w:pPr>
        <w:jc w:val="both"/>
        <w:rPr>
          <w:sz w:val="28"/>
          <w:szCs w:val="28"/>
        </w:rPr>
      </w:pPr>
    </w:p>
    <w:p w14:paraId="5696D02D" w14:textId="72BD32C0" w:rsidR="00CF2480" w:rsidRDefault="00CF2480" w:rsidP="0007362E">
      <w:pPr>
        <w:jc w:val="both"/>
        <w:rPr>
          <w:sz w:val="28"/>
          <w:szCs w:val="28"/>
        </w:rPr>
      </w:pPr>
    </w:p>
    <w:p w14:paraId="5F50D8DF" w14:textId="3B9CDD38" w:rsidR="00CF2480" w:rsidRDefault="00CF2480" w:rsidP="0007362E">
      <w:pPr>
        <w:jc w:val="both"/>
        <w:rPr>
          <w:sz w:val="28"/>
          <w:szCs w:val="28"/>
        </w:rPr>
      </w:pPr>
    </w:p>
    <w:p w14:paraId="0BDF9100" w14:textId="1ACA76CF" w:rsidR="00CF2480" w:rsidRDefault="00CF2480" w:rsidP="0007362E">
      <w:pPr>
        <w:jc w:val="both"/>
        <w:rPr>
          <w:sz w:val="28"/>
          <w:szCs w:val="28"/>
        </w:rPr>
      </w:pPr>
    </w:p>
    <w:p w14:paraId="643C9373" w14:textId="02F1A216" w:rsidR="00CF2480" w:rsidRDefault="00CF2480" w:rsidP="0007362E">
      <w:pPr>
        <w:jc w:val="both"/>
        <w:rPr>
          <w:sz w:val="28"/>
          <w:szCs w:val="28"/>
        </w:rPr>
      </w:pPr>
    </w:p>
    <w:p w14:paraId="0AE3CA69" w14:textId="5FD8DC43" w:rsidR="00CF2480" w:rsidRDefault="00CF2480" w:rsidP="0007362E">
      <w:pPr>
        <w:jc w:val="both"/>
        <w:rPr>
          <w:sz w:val="28"/>
          <w:szCs w:val="28"/>
        </w:rPr>
      </w:pPr>
    </w:p>
    <w:p w14:paraId="1D86D711" w14:textId="58F55E79" w:rsidR="00CF2480" w:rsidRDefault="00CF2480" w:rsidP="0007362E">
      <w:pPr>
        <w:jc w:val="both"/>
        <w:rPr>
          <w:sz w:val="28"/>
          <w:szCs w:val="28"/>
        </w:rPr>
      </w:pPr>
    </w:p>
    <w:p w14:paraId="583623BE" w14:textId="30061D6C" w:rsidR="00CF2480" w:rsidRDefault="00CF2480" w:rsidP="0007362E">
      <w:pPr>
        <w:jc w:val="both"/>
        <w:rPr>
          <w:sz w:val="28"/>
          <w:szCs w:val="28"/>
        </w:rPr>
      </w:pPr>
    </w:p>
    <w:p w14:paraId="75A37333" w14:textId="1A8769DC" w:rsidR="00CF2480" w:rsidRDefault="00CF2480" w:rsidP="0007362E">
      <w:pPr>
        <w:jc w:val="both"/>
        <w:rPr>
          <w:sz w:val="28"/>
          <w:szCs w:val="28"/>
        </w:rPr>
      </w:pPr>
    </w:p>
    <w:p w14:paraId="0EDFD130" w14:textId="3A49B166" w:rsidR="00F96DC0" w:rsidRPr="00562455" w:rsidRDefault="00F96DC0" w:rsidP="00562455">
      <w:pPr>
        <w:jc w:val="both"/>
        <w:rPr>
          <w:sz w:val="28"/>
          <w:szCs w:val="28"/>
        </w:rPr>
      </w:pPr>
      <w:bookmarkStart w:id="0" w:name="_GoBack"/>
      <w:bookmarkEnd w:id="0"/>
    </w:p>
    <w:sectPr w:rsidR="00F96DC0" w:rsidRPr="00562455" w:rsidSect="00562455">
      <w:headerReference w:type="default" r:id="rId8"/>
      <w:headerReference w:type="first" r:id="rId9"/>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7D5A" w14:textId="77777777" w:rsidR="00530B5D" w:rsidRDefault="00530B5D">
      <w:r>
        <w:separator/>
      </w:r>
    </w:p>
  </w:endnote>
  <w:endnote w:type="continuationSeparator" w:id="0">
    <w:p w14:paraId="1C14B439" w14:textId="77777777" w:rsidR="00530B5D" w:rsidRDefault="0053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FBFD0" w14:textId="77777777" w:rsidR="00530B5D" w:rsidRDefault="00530B5D">
      <w:r>
        <w:separator/>
      </w:r>
    </w:p>
  </w:footnote>
  <w:footnote w:type="continuationSeparator" w:id="0">
    <w:p w14:paraId="6C4BB1F4" w14:textId="77777777" w:rsidR="00530B5D" w:rsidRDefault="0053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352D" w14:textId="54BFAD36" w:rsidR="00977605" w:rsidRDefault="00977605">
    <w:pPr>
      <w:pStyle w:val="a3"/>
      <w:jc w:val="center"/>
    </w:pPr>
  </w:p>
  <w:p w14:paraId="0BFCC6C2" w14:textId="77777777" w:rsidR="00977605" w:rsidRDefault="00977605">
    <w:pPr>
      <w:pStyle w:val="a3"/>
    </w:pPr>
  </w:p>
  <w:p w14:paraId="7B61B7EC" w14:textId="77777777" w:rsidR="00977605" w:rsidRDefault="009776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E7BC" w14:textId="70454F20" w:rsidR="00EE2EE1" w:rsidRDefault="00EE2EE1" w:rsidP="00EE2EE1">
    <w:pPr>
      <w:ind w:left="6237"/>
      <w:jc w:val="center"/>
      <w:rPr>
        <w:sz w:val="28"/>
        <w:szCs w:val="28"/>
        <w:lang w:eastAsia="ru-RU"/>
      </w:rPr>
    </w:pPr>
  </w:p>
  <w:p w14:paraId="2DF977A3" w14:textId="77777777" w:rsidR="00CF2480" w:rsidRDefault="00CF2480" w:rsidP="00EE2EE1">
    <w:pPr>
      <w:ind w:left="6237"/>
      <w:jc w:val="center"/>
      <w:rPr>
        <w:sz w:val="28"/>
        <w:szCs w:val="28"/>
        <w:lang w:eastAsia="ru-RU"/>
      </w:rPr>
    </w:pPr>
  </w:p>
  <w:p w14:paraId="29745DF5" w14:textId="77777777" w:rsidR="00CF2480" w:rsidRDefault="00CF2480" w:rsidP="00EE2EE1">
    <w:pPr>
      <w:ind w:left="6237"/>
      <w:jc w:val="center"/>
      <w:rPr>
        <w:sz w:val="28"/>
        <w:szCs w:val="28"/>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F24"/>
    <w:multiLevelType w:val="multilevel"/>
    <w:tmpl w:val="F28ED88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3B96C69"/>
    <w:multiLevelType w:val="hybridMultilevel"/>
    <w:tmpl w:val="780866C6"/>
    <w:lvl w:ilvl="0" w:tplc="5E0EBDB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33934"/>
    <w:multiLevelType w:val="hybridMultilevel"/>
    <w:tmpl w:val="021C481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A81442"/>
    <w:multiLevelType w:val="multilevel"/>
    <w:tmpl w:val="59BC08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1123C"/>
    <w:multiLevelType w:val="multilevel"/>
    <w:tmpl w:val="ABD6DA3E"/>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2BCE3B37"/>
    <w:multiLevelType w:val="hybridMultilevel"/>
    <w:tmpl w:val="3FD40362"/>
    <w:lvl w:ilvl="0" w:tplc="592EB82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2C307693"/>
    <w:multiLevelType w:val="multilevel"/>
    <w:tmpl w:val="8F4AB272"/>
    <w:lvl w:ilvl="0">
      <w:start w:val="6"/>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2FF048AA"/>
    <w:multiLevelType w:val="multilevel"/>
    <w:tmpl w:val="A90A7A3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123D5A"/>
    <w:multiLevelType w:val="multilevel"/>
    <w:tmpl w:val="A4F4BF46"/>
    <w:lvl w:ilvl="0">
      <w:start w:val="1"/>
      <w:numFmt w:val="decimal"/>
      <w:lvlText w:val="%1."/>
      <w:lvlJc w:val="left"/>
      <w:pPr>
        <w:ind w:left="1773" w:hanging="1065"/>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E5F7286"/>
    <w:multiLevelType w:val="hybridMultilevel"/>
    <w:tmpl w:val="60B80866"/>
    <w:lvl w:ilvl="0" w:tplc="331067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91C771C"/>
    <w:multiLevelType w:val="multilevel"/>
    <w:tmpl w:val="6518B084"/>
    <w:lvl w:ilvl="0">
      <w:start w:val="5"/>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15:restartNumberingAfterBreak="0">
    <w:nsid w:val="5CE45102"/>
    <w:multiLevelType w:val="hybridMultilevel"/>
    <w:tmpl w:val="0FA45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11288F"/>
    <w:multiLevelType w:val="hybridMultilevel"/>
    <w:tmpl w:val="4BC40446"/>
    <w:lvl w:ilvl="0" w:tplc="944C99C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07473A3"/>
    <w:multiLevelType w:val="multilevel"/>
    <w:tmpl w:val="2F66AF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9E0888"/>
    <w:multiLevelType w:val="hybridMultilevel"/>
    <w:tmpl w:val="09BEFE6A"/>
    <w:lvl w:ilvl="0" w:tplc="4FDC13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C505A5D"/>
    <w:multiLevelType w:val="multilevel"/>
    <w:tmpl w:val="9392C0CC"/>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0"/>
  </w:num>
  <w:num w:numId="4">
    <w:abstractNumId w:val="13"/>
  </w:num>
  <w:num w:numId="5">
    <w:abstractNumId w:val="11"/>
  </w:num>
  <w:num w:numId="6">
    <w:abstractNumId w:val="2"/>
  </w:num>
  <w:num w:numId="7">
    <w:abstractNumId w:val="9"/>
  </w:num>
  <w:num w:numId="8">
    <w:abstractNumId w:val="12"/>
  </w:num>
  <w:num w:numId="9">
    <w:abstractNumId w:val="1"/>
  </w:num>
  <w:num w:numId="10">
    <w:abstractNumId w:val="6"/>
  </w:num>
  <w:num w:numId="11">
    <w:abstractNumId w:val="10"/>
  </w:num>
  <w:num w:numId="12">
    <w:abstractNumId w:val="7"/>
  </w:num>
  <w:num w:numId="13">
    <w:abstractNumId w:val="4"/>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3"/>
    <w:rsid w:val="000043C9"/>
    <w:rsid w:val="00022A64"/>
    <w:rsid w:val="000515A9"/>
    <w:rsid w:val="0007362E"/>
    <w:rsid w:val="0007367E"/>
    <w:rsid w:val="00081B77"/>
    <w:rsid w:val="00084C7B"/>
    <w:rsid w:val="000925B5"/>
    <w:rsid w:val="00094D23"/>
    <w:rsid w:val="00096951"/>
    <w:rsid w:val="000A448B"/>
    <w:rsid w:val="000C0034"/>
    <w:rsid w:val="000C544B"/>
    <w:rsid w:val="000E0096"/>
    <w:rsid w:val="000F6AD1"/>
    <w:rsid w:val="00115E67"/>
    <w:rsid w:val="001243BC"/>
    <w:rsid w:val="00171E12"/>
    <w:rsid w:val="00185336"/>
    <w:rsid w:val="001B06C4"/>
    <w:rsid w:val="0022067C"/>
    <w:rsid w:val="00224BB2"/>
    <w:rsid w:val="00233391"/>
    <w:rsid w:val="00234F65"/>
    <w:rsid w:val="002471F6"/>
    <w:rsid w:val="002655F2"/>
    <w:rsid w:val="0029235D"/>
    <w:rsid w:val="002B55FD"/>
    <w:rsid w:val="002D2BDE"/>
    <w:rsid w:val="00334B61"/>
    <w:rsid w:val="00371088"/>
    <w:rsid w:val="00380AE6"/>
    <w:rsid w:val="003B631E"/>
    <w:rsid w:val="003C76B6"/>
    <w:rsid w:val="003D17C9"/>
    <w:rsid w:val="003E4744"/>
    <w:rsid w:val="00407B08"/>
    <w:rsid w:val="0041114A"/>
    <w:rsid w:val="0045200D"/>
    <w:rsid w:val="0046179B"/>
    <w:rsid w:val="004A252C"/>
    <w:rsid w:val="004B3C81"/>
    <w:rsid w:val="004C694E"/>
    <w:rsid w:val="0050723E"/>
    <w:rsid w:val="00512D37"/>
    <w:rsid w:val="0051722C"/>
    <w:rsid w:val="005254A0"/>
    <w:rsid w:val="00530B5D"/>
    <w:rsid w:val="00552B4C"/>
    <w:rsid w:val="00562455"/>
    <w:rsid w:val="0057353D"/>
    <w:rsid w:val="005A2587"/>
    <w:rsid w:val="005C517E"/>
    <w:rsid w:val="005D1B98"/>
    <w:rsid w:val="005D20E5"/>
    <w:rsid w:val="005D474E"/>
    <w:rsid w:val="00633581"/>
    <w:rsid w:val="00634C7B"/>
    <w:rsid w:val="00636512"/>
    <w:rsid w:val="00642914"/>
    <w:rsid w:val="00664D7B"/>
    <w:rsid w:val="00667401"/>
    <w:rsid w:val="006758A1"/>
    <w:rsid w:val="006E6F81"/>
    <w:rsid w:val="00752062"/>
    <w:rsid w:val="007D3207"/>
    <w:rsid w:val="007D3551"/>
    <w:rsid w:val="007D624C"/>
    <w:rsid w:val="007E0629"/>
    <w:rsid w:val="007F476C"/>
    <w:rsid w:val="00805F7A"/>
    <w:rsid w:val="00843F6C"/>
    <w:rsid w:val="00845AD5"/>
    <w:rsid w:val="00853DEB"/>
    <w:rsid w:val="0087637A"/>
    <w:rsid w:val="00895D35"/>
    <w:rsid w:val="008A0D06"/>
    <w:rsid w:val="008C252D"/>
    <w:rsid w:val="008D00BD"/>
    <w:rsid w:val="008D017B"/>
    <w:rsid w:val="008D7A36"/>
    <w:rsid w:val="008F3BAA"/>
    <w:rsid w:val="0090523D"/>
    <w:rsid w:val="00945499"/>
    <w:rsid w:val="00973C0C"/>
    <w:rsid w:val="00977605"/>
    <w:rsid w:val="00A06020"/>
    <w:rsid w:val="00A26C1A"/>
    <w:rsid w:val="00A43655"/>
    <w:rsid w:val="00A50FE3"/>
    <w:rsid w:val="00AA76DA"/>
    <w:rsid w:val="00AC2E9C"/>
    <w:rsid w:val="00B118DE"/>
    <w:rsid w:val="00B30E1D"/>
    <w:rsid w:val="00B46C77"/>
    <w:rsid w:val="00B73D43"/>
    <w:rsid w:val="00B7688A"/>
    <w:rsid w:val="00BB2C93"/>
    <w:rsid w:val="00BF0223"/>
    <w:rsid w:val="00BF3598"/>
    <w:rsid w:val="00C0000A"/>
    <w:rsid w:val="00C04635"/>
    <w:rsid w:val="00C0617C"/>
    <w:rsid w:val="00C5787D"/>
    <w:rsid w:val="00C60A9E"/>
    <w:rsid w:val="00C775D6"/>
    <w:rsid w:val="00C83A7B"/>
    <w:rsid w:val="00CA24E5"/>
    <w:rsid w:val="00CA490C"/>
    <w:rsid w:val="00CD39B8"/>
    <w:rsid w:val="00CD5425"/>
    <w:rsid w:val="00CD71CC"/>
    <w:rsid w:val="00CE135E"/>
    <w:rsid w:val="00CF2480"/>
    <w:rsid w:val="00CF502B"/>
    <w:rsid w:val="00D10E57"/>
    <w:rsid w:val="00D149C5"/>
    <w:rsid w:val="00D7415A"/>
    <w:rsid w:val="00DD1DDB"/>
    <w:rsid w:val="00DD4210"/>
    <w:rsid w:val="00DE7BCC"/>
    <w:rsid w:val="00E10BEE"/>
    <w:rsid w:val="00E12DBA"/>
    <w:rsid w:val="00E15CDC"/>
    <w:rsid w:val="00E16539"/>
    <w:rsid w:val="00E22B43"/>
    <w:rsid w:val="00E31E1A"/>
    <w:rsid w:val="00E33799"/>
    <w:rsid w:val="00E33BED"/>
    <w:rsid w:val="00E42640"/>
    <w:rsid w:val="00E55FA9"/>
    <w:rsid w:val="00E600F8"/>
    <w:rsid w:val="00E604EB"/>
    <w:rsid w:val="00E825A5"/>
    <w:rsid w:val="00E95145"/>
    <w:rsid w:val="00EB2302"/>
    <w:rsid w:val="00ED1516"/>
    <w:rsid w:val="00EE2EE1"/>
    <w:rsid w:val="00EE4FFA"/>
    <w:rsid w:val="00EF1691"/>
    <w:rsid w:val="00F0612A"/>
    <w:rsid w:val="00F07156"/>
    <w:rsid w:val="00F51D41"/>
    <w:rsid w:val="00F62764"/>
    <w:rsid w:val="00F8251F"/>
    <w:rsid w:val="00F87A85"/>
    <w:rsid w:val="00F96DC0"/>
    <w:rsid w:val="00F97719"/>
    <w:rsid w:val="00FB61B0"/>
    <w:rsid w:val="00FD06FD"/>
    <w:rsid w:val="00FD2A11"/>
    <w:rsid w:val="00FE1CB7"/>
    <w:rsid w:val="00FF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EFDE5"/>
  <w15:chartTrackingRefBased/>
  <w15:docId w15:val="{45D92B77-8D72-448A-B7C1-820A9972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43"/>
    <w:rPr>
      <w:sz w:val="24"/>
      <w:szCs w:val="24"/>
    </w:rPr>
  </w:style>
  <w:style w:type="paragraph" w:styleId="1">
    <w:name w:val="heading 1"/>
    <w:basedOn w:val="a"/>
    <w:next w:val="a"/>
    <w:link w:val="10"/>
    <w:qFormat/>
    <w:rsid w:val="00EE2EE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w:basedOn w:val="a"/>
    <w:link w:val="a4"/>
    <w:rsid w:val="00B73D43"/>
    <w:pPr>
      <w:tabs>
        <w:tab w:val="center" w:pos="4153"/>
        <w:tab w:val="right" w:pos="8306"/>
      </w:tabs>
    </w:pPr>
    <w:rPr>
      <w:sz w:val="20"/>
      <w:szCs w:val="20"/>
      <w:lang w:val="ru-RU" w:eastAsia="ru-RU"/>
    </w:rPr>
  </w:style>
  <w:style w:type="paragraph" w:styleId="a5">
    <w:name w:val="List Paragraph"/>
    <w:basedOn w:val="a"/>
    <w:qFormat/>
    <w:rsid w:val="00B73D43"/>
    <w:pPr>
      <w:ind w:left="708"/>
    </w:pPr>
  </w:style>
  <w:style w:type="character" w:customStyle="1" w:styleId="a4">
    <w:name w:val="Верхній колонтитул Знак"/>
    <w:aliases w:val="Знак Знак, 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w:link w:val="a3"/>
    <w:rsid w:val="00B73D43"/>
    <w:rPr>
      <w:lang w:val="ru-RU" w:eastAsia="ru-RU" w:bidi="ar-SA"/>
    </w:rPr>
  </w:style>
  <w:style w:type="paragraph" w:styleId="a6">
    <w:name w:val="footer"/>
    <w:basedOn w:val="a"/>
    <w:rsid w:val="00B73D43"/>
    <w:pPr>
      <w:tabs>
        <w:tab w:val="center" w:pos="4677"/>
        <w:tab w:val="right" w:pos="9355"/>
      </w:tabs>
    </w:pPr>
  </w:style>
  <w:style w:type="paragraph" w:customStyle="1" w:styleId="a7">
    <w:name w:val="Знак Знак Знак"/>
    <w:basedOn w:val="a"/>
    <w:rsid w:val="00096951"/>
    <w:rPr>
      <w:rFonts w:ascii="Verdana" w:hAnsi="Verdana" w:cs="Verdana"/>
      <w:sz w:val="20"/>
      <w:szCs w:val="20"/>
      <w:lang w:val="en-US" w:eastAsia="en-US"/>
    </w:rPr>
  </w:style>
  <w:style w:type="paragraph" w:styleId="a8">
    <w:name w:val="Document Map"/>
    <w:basedOn w:val="a"/>
    <w:semiHidden/>
    <w:rsid w:val="00B46C77"/>
    <w:pPr>
      <w:shd w:val="clear" w:color="auto" w:fill="000080"/>
    </w:pPr>
    <w:rPr>
      <w:rFonts w:ascii="Tahoma" w:hAnsi="Tahoma" w:cs="Tahoma"/>
      <w:sz w:val="20"/>
      <w:szCs w:val="20"/>
    </w:rPr>
  </w:style>
  <w:style w:type="paragraph" w:styleId="a9">
    <w:name w:val="No Spacing"/>
    <w:uiPriority w:val="1"/>
    <w:qFormat/>
    <w:rsid w:val="00EE2EE1"/>
    <w:rPr>
      <w:sz w:val="24"/>
      <w:szCs w:val="24"/>
    </w:rPr>
  </w:style>
  <w:style w:type="character" w:customStyle="1" w:styleId="10">
    <w:name w:val="Заголовок 1 Знак"/>
    <w:basedOn w:val="a0"/>
    <w:link w:val="1"/>
    <w:uiPriority w:val="9"/>
    <w:rsid w:val="00EE2EE1"/>
    <w:rPr>
      <w:rFonts w:asciiTheme="majorHAnsi" w:eastAsiaTheme="majorEastAsia" w:hAnsiTheme="majorHAnsi" w:cstheme="majorBidi"/>
      <w:b/>
      <w:bCs/>
      <w:kern w:val="32"/>
      <w:sz w:val="32"/>
      <w:szCs w:val="32"/>
    </w:rPr>
  </w:style>
  <w:style w:type="paragraph" w:styleId="aa">
    <w:name w:val="Balloon Text"/>
    <w:basedOn w:val="a"/>
    <w:link w:val="ab"/>
    <w:rsid w:val="00371088"/>
    <w:rPr>
      <w:rFonts w:ascii="Segoe UI" w:hAnsi="Segoe UI" w:cs="Segoe UI"/>
      <w:sz w:val="18"/>
      <w:szCs w:val="18"/>
    </w:rPr>
  </w:style>
  <w:style w:type="character" w:customStyle="1" w:styleId="ab">
    <w:name w:val="Текст у виносці Знак"/>
    <w:basedOn w:val="a0"/>
    <w:link w:val="aa"/>
    <w:rsid w:val="00371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51696">
      <w:bodyDiv w:val="1"/>
      <w:marLeft w:val="0"/>
      <w:marRight w:val="0"/>
      <w:marTop w:val="0"/>
      <w:marBottom w:val="0"/>
      <w:divBdr>
        <w:top w:val="none" w:sz="0" w:space="0" w:color="auto"/>
        <w:left w:val="none" w:sz="0" w:space="0" w:color="auto"/>
        <w:bottom w:val="none" w:sz="0" w:space="0" w:color="auto"/>
        <w:right w:val="none" w:sz="0" w:space="0" w:color="auto"/>
      </w:divBdr>
    </w:div>
    <w:div w:id="20465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1598</Words>
  <Characters>911</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Воропай Юлія</cp:lastModifiedBy>
  <cp:revision>15</cp:revision>
  <cp:lastPrinted>2017-05-24T06:55:00Z</cp:lastPrinted>
  <dcterms:created xsi:type="dcterms:W3CDTF">2017-03-27T11:49:00Z</dcterms:created>
  <dcterms:modified xsi:type="dcterms:W3CDTF">2017-06-02T05:53:00Z</dcterms:modified>
</cp:coreProperties>
</file>