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69507F" w:rsidRPr="0069507F" w:rsidTr="0069507F">
        <w:tc>
          <w:tcPr>
            <w:tcW w:w="4250" w:type="dxa"/>
          </w:tcPr>
          <w:p w:rsidR="0069507F" w:rsidRPr="0069507F" w:rsidRDefault="0069507F" w:rsidP="0069507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69507F" w:rsidRPr="0069507F" w:rsidRDefault="0069507F" w:rsidP="0069507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07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DAFC909" wp14:editId="1FEF3856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</w:tcPr>
          <w:p w:rsidR="0069507F" w:rsidRPr="0069507F" w:rsidRDefault="0069507F" w:rsidP="0069507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507F" w:rsidRPr="0069507F" w:rsidRDefault="0069507F" w:rsidP="0069507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69507F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69507F" w:rsidRPr="0069507F" w:rsidRDefault="0069507F" w:rsidP="0069507F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69507F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69507F" w:rsidRPr="0069507F" w:rsidRDefault="0069507F" w:rsidP="006950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9507F">
        <w:rPr>
          <w:rFonts w:ascii="Times New Roman" w:eastAsia="Calibri" w:hAnsi="Times New Roman" w:cs="Times New Roman"/>
          <w:b/>
          <w:color w:val="000000"/>
          <w:sz w:val="36"/>
          <w:szCs w:val="36"/>
          <w:lang w:val="uk-UA"/>
        </w:rPr>
        <w:t>РІШЕННЯ</w:t>
      </w:r>
    </w:p>
    <w:p w:rsidR="0069507F" w:rsidRPr="0069507F" w:rsidRDefault="0069507F" w:rsidP="0069507F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69507F" w:rsidRPr="0069507F" w:rsidTr="0069507F">
        <w:tc>
          <w:tcPr>
            <w:tcW w:w="5103" w:type="dxa"/>
            <w:hideMark/>
          </w:tcPr>
          <w:p w:rsidR="0069507F" w:rsidRPr="0069507F" w:rsidRDefault="0069507F" w:rsidP="00AF05C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0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    </w:t>
            </w:r>
            <w:r w:rsidR="00AF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06.04.2016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6950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6950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AF0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176</w:t>
            </w:r>
          </w:p>
        </w:tc>
      </w:tr>
    </w:tbl>
    <w:p w:rsidR="0069507F" w:rsidRP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9507F" w:rsidRPr="0069507F" w:rsidTr="0069507F">
        <w:trPr>
          <w:trHeight w:val="841"/>
        </w:trPr>
        <w:tc>
          <w:tcPr>
            <w:tcW w:w="4928" w:type="dxa"/>
            <w:hideMark/>
          </w:tcPr>
          <w:p w:rsidR="0069507F" w:rsidRPr="0069507F" w:rsidRDefault="0069507F" w:rsidP="0069507F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6950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</w:t>
            </w:r>
            <w:bookmarkEnd w:id="0"/>
          </w:p>
        </w:tc>
      </w:tr>
    </w:tbl>
    <w:p w:rsidR="0069507F" w:rsidRP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9507F" w:rsidRP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07F" w:rsidRPr="0069507F" w:rsidRDefault="0069507F" w:rsidP="0069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07F" w:rsidRPr="0069507F" w:rsidRDefault="0069507F" w:rsidP="0069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07F" w:rsidRPr="0069507F" w:rsidRDefault="00BF2C8F" w:rsidP="0069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69507F">
        <w:rPr>
          <w:rFonts w:ascii="Times New Roman" w:eastAsia="Calibri" w:hAnsi="Times New Roman" w:cs="Times New Roman"/>
          <w:sz w:val="28"/>
          <w:szCs w:val="28"/>
          <w:lang w:val="uk-UA"/>
        </w:rPr>
        <w:t>законів України «Про благоустрій населених пунктів», «Про Національну поліцію»</w:t>
      </w:r>
      <w:r w:rsidR="0069507F" w:rsidRPr="006950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Правил благоустрою міста Суми та Програми контролю за додержанням правил благоустрою, торгівлі та станом довкілля на території міста Суми на 2014-2016 роки, </w:t>
      </w:r>
      <w:r w:rsidR="0069507F" w:rsidRPr="006950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69507F" w:rsidRPr="006950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69507F" w:rsidRP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69507F" w:rsidRPr="0069507F" w:rsidRDefault="0069507F" w:rsidP="006950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50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ВИРІШИВ:</w:t>
      </w:r>
    </w:p>
    <w:p w:rsidR="0069507F" w:rsidRPr="0069507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69507F" w:rsidRPr="0069507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9507F">
        <w:rPr>
          <w:rFonts w:ascii="Times New Roman" w:eastAsia="Calibri" w:hAnsi="Times New Roman" w:cs="Times New Roman"/>
          <w:b/>
          <w:sz w:val="27"/>
          <w:szCs w:val="27"/>
          <w:lang w:val="uk-UA"/>
        </w:rPr>
        <w:t>1.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Уповноважити працівників Управління 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поліції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охорони Сумській області на складання протоколів про адміністративні правопорушення, передбачені статтями 92, 136, 151, 152, 153, 154, 159, 160, 175</w:t>
      </w:r>
      <w:r w:rsidRPr="0069507F">
        <w:rPr>
          <w:rFonts w:ascii="Times New Roman" w:eastAsia="Calibri" w:hAnsi="Times New Roman" w:cs="Times New Roman"/>
          <w:sz w:val="27"/>
          <w:szCs w:val="27"/>
          <w:vertAlign w:val="superscript"/>
          <w:lang w:val="uk-UA"/>
        </w:rPr>
        <w:t>1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, 179, 180, 181, 181</w:t>
      </w:r>
      <w:r w:rsidRPr="0069507F">
        <w:rPr>
          <w:rFonts w:ascii="Times New Roman" w:eastAsia="Calibri" w:hAnsi="Times New Roman" w:cs="Times New Roman"/>
          <w:sz w:val="27"/>
          <w:szCs w:val="27"/>
          <w:vertAlign w:val="superscript"/>
          <w:lang w:val="uk-UA"/>
        </w:rPr>
        <w:t>1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, 182, 186</w:t>
      </w:r>
      <w:r w:rsidRPr="0069507F">
        <w:rPr>
          <w:rFonts w:ascii="Times New Roman" w:eastAsia="Calibri" w:hAnsi="Times New Roman" w:cs="Times New Roman"/>
          <w:sz w:val="27"/>
          <w:szCs w:val="27"/>
          <w:vertAlign w:val="superscript"/>
          <w:lang w:val="uk-UA"/>
        </w:rPr>
        <w:t>1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, 189, 189</w:t>
      </w:r>
      <w:r w:rsidRPr="0069507F">
        <w:rPr>
          <w:rFonts w:ascii="Times New Roman" w:eastAsia="Calibri" w:hAnsi="Times New Roman" w:cs="Times New Roman"/>
          <w:sz w:val="27"/>
          <w:szCs w:val="27"/>
          <w:vertAlign w:val="superscript"/>
          <w:lang w:val="uk-UA"/>
        </w:rPr>
        <w:t>1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196 Кодексу України про адміністративні правопорушення, </w:t>
      </w:r>
      <w:r w:rsidR="00157591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з подальшою передачею їх у встановлені чинним законодавством строки до адміністративної комісії при виконавчому комітеті Сумської міської ради, 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 саме: </w:t>
      </w:r>
    </w:p>
    <w:p w:rsidR="0069507F" w:rsidRPr="0069507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- молодших інспекторів батальйону 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по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ліції охорони Управління 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поліції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охорони в Сумській області – 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2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ос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о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б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и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; </w:t>
      </w:r>
    </w:p>
    <w:p w:rsidR="0069507F" w:rsidRPr="0069507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- 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поліцейських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– водіїв батальйону 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по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ліції охорони Управління 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поліції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охорони в Сумській області – </w:t>
      </w:r>
      <w:r w:rsidR="00646E30">
        <w:rPr>
          <w:rFonts w:ascii="Times New Roman" w:eastAsia="Calibri" w:hAnsi="Times New Roman" w:cs="Times New Roman"/>
          <w:sz w:val="27"/>
          <w:szCs w:val="27"/>
          <w:lang w:val="uk-UA"/>
        </w:rPr>
        <w:t>2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особи.</w:t>
      </w:r>
    </w:p>
    <w:p w:rsidR="0069507F" w:rsidRPr="0069507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9507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9507F">
        <w:rPr>
          <w:rFonts w:ascii="Times New Roman" w:eastAsia="Calibri" w:hAnsi="Times New Roman" w:cs="Times New Roman"/>
          <w:b/>
          <w:sz w:val="27"/>
          <w:szCs w:val="27"/>
          <w:lang w:val="uk-UA"/>
        </w:rPr>
        <w:t>2.</w:t>
      </w: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В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важати таким</w:t>
      </w:r>
      <w:r w:rsidR="00F3497D">
        <w:rPr>
          <w:rFonts w:ascii="Times New Roman" w:eastAsia="Calibri" w:hAnsi="Times New Roman" w:cs="Times New Roman"/>
          <w:sz w:val="27"/>
          <w:szCs w:val="27"/>
          <w:lang w:val="uk-UA"/>
        </w:rPr>
        <w:t>и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що втратили чинність рішення виконавчого комітету від 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01.03.2011 № 146 «Про надання повноважень на складання протоколів про адміністративні правопорушення»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та 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від 16.06.2015 № 297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«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Про внесення змін до рішення виконавчого комітету Сумської міської ради від 01.03.2011 № 146 «Про надання повноважень на складання протоколів про адміністративні правопорушення»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».</w:t>
      </w:r>
    </w:p>
    <w:p w:rsidR="0069507F" w:rsidRPr="00BF2C8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9507F" w:rsidRPr="0069507F" w:rsidRDefault="0069507F" w:rsidP="00695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9507F">
        <w:rPr>
          <w:rFonts w:ascii="Times New Roman" w:eastAsia="Calibri" w:hAnsi="Times New Roman" w:cs="Times New Roman"/>
          <w:b/>
          <w:sz w:val="27"/>
          <w:szCs w:val="27"/>
          <w:lang w:val="uk-UA"/>
        </w:rPr>
        <w:t>3.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Організацію виконання даного рішення покласти на 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першого заступника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міського голови 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Войтенка В</w:t>
      </w:r>
      <w:r w:rsidRPr="0069507F">
        <w:rPr>
          <w:rFonts w:ascii="Times New Roman" w:eastAsia="Calibri" w:hAnsi="Times New Roman" w:cs="Times New Roman"/>
          <w:sz w:val="27"/>
          <w:szCs w:val="27"/>
          <w:lang w:val="uk-UA"/>
        </w:rPr>
        <w:t>.В.</w:t>
      </w:r>
    </w:p>
    <w:p w:rsidR="0069507F" w:rsidRP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9507F" w:rsidRP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BF2C8F" w:rsidRDefault="00BF2C8F" w:rsidP="006950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9507F" w:rsidRPr="0069507F" w:rsidRDefault="0069507F" w:rsidP="006950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</w:t>
      </w:r>
      <w:r w:rsidRPr="006950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ий</w:t>
      </w:r>
      <w:r w:rsidRPr="006950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</w:t>
      </w:r>
      <w:r w:rsidRPr="0069507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69507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69507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</w:t>
      </w:r>
      <w:r w:rsidRPr="0069507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О.М. Лисенко</w:t>
      </w:r>
    </w:p>
    <w:p w:rsid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BF2C8F" w:rsidRDefault="00BF2C8F" w:rsidP="006950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69507F" w:rsidRP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uk-UA"/>
        </w:rPr>
      </w:pPr>
      <w:proofErr w:type="spellStart"/>
      <w:r w:rsidRPr="0069507F">
        <w:rPr>
          <w:rFonts w:ascii="Times New Roman" w:eastAsia="Calibri" w:hAnsi="Times New Roman" w:cs="Times New Roman"/>
          <w:u w:val="single"/>
          <w:lang w:val="uk-UA"/>
        </w:rPr>
        <w:t>Голопьоров</w:t>
      </w:r>
      <w:proofErr w:type="spellEnd"/>
      <w:r w:rsidRPr="0069507F">
        <w:rPr>
          <w:rFonts w:ascii="Times New Roman" w:eastAsia="Calibri" w:hAnsi="Times New Roman" w:cs="Times New Roman"/>
          <w:u w:val="single"/>
          <w:lang w:val="uk-UA"/>
        </w:rPr>
        <w:t xml:space="preserve"> 700-605________________ ____________________________________________</w:t>
      </w:r>
    </w:p>
    <w:p w:rsidR="0069507F" w:rsidRPr="0069507F" w:rsidRDefault="0069507F" w:rsidP="0069507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07F">
        <w:rPr>
          <w:rFonts w:ascii="Times New Roman" w:eastAsia="Calibri" w:hAnsi="Times New Roman" w:cs="Times New Roman"/>
          <w:lang w:val="uk-UA"/>
        </w:rPr>
        <w:t xml:space="preserve">Розіслати: </w:t>
      </w:r>
      <w:r>
        <w:rPr>
          <w:rFonts w:ascii="Times New Roman" w:eastAsia="Calibri" w:hAnsi="Times New Roman" w:cs="Times New Roman"/>
          <w:lang w:val="uk-UA"/>
        </w:rPr>
        <w:t>Войтенко В.</w:t>
      </w:r>
      <w:r w:rsidRPr="0069507F">
        <w:rPr>
          <w:rFonts w:ascii="Times New Roman" w:eastAsia="Calibri" w:hAnsi="Times New Roman" w:cs="Times New Roman"/>
          <w:lang w:val="uk-UA"/>
        </w:rPr>
        <w:t xml:space="preserve">В., </w:t>
      </w:r>
      <w:proofErr w:type="spellStart"/>
      <w:r w:rsidRPr="0069507F">
        <w:rPr>
          <w:rFonts w:ascii="Times New Roman" w:eastAsia="Calibri" w:hAnsi="Times New Roman" w:cs="Times New Roman"/>
          <w:lang w:val="uk-UA"/>
        </w:rPr>
        <w:t>Голопьоров</w:t>
      </w:r>
      <w:proofErr w:type="spellEnd"/>
      <w:r w:rsidRPr="0069507F">
        <w:rPr>
          <w:rFonts w:ascii="Times New Roman" w:eastAsia="Calibri" w:hAnsi="Times New Roman" w:cs="Times New Roman"/>
          <w:lang w:val="uk-UA"/>
        </w:rPr>
        <w:t xml:space="preserve"> Р.В.</w:t>
      </w:r>
      <w:r w:rsidRPr="006950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6E30" w:rsidRDefault="00646E30" w:rsidP="00646E3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367"/>
      </w:tblGrid>
      <w:tr w:rsidR="00646E30" w:rsidTr="00C1406A">
        <w:tc>
          <w:tcPr>
            <w:tcW w:w="36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«Інспекція з благоустрою міста Суми»</w:t>
            </w: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B61FE" w:rsidRDefault="002B61FE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61FE" w:rsidRDefault="002B61FE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61FE" w:rsidRDefault="002B61FE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61FE" w:rsidRDefault="002B61FE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61FE" w:rsidRDefault="002B61FE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6E30" w:rsidTr="00C1406A">
        <w:tc>
          <w:tcPr>
            <w:tcW w:w="36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6E30" w:rsidTr="00C1406A">
        <w:tc>
          <w:tcPr>
            <w:tcW w:w="3652" w:type="dxa"/>
          </w:tcPr>
          <w:p w:rsidR="00646E30" w:rsidRDefault="00646E30" w:rsidP="00C140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646E30" w:rsidRDefault="00646E30" w:rsidP="00C140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6E30" w:rsidRDefault="00646E30" w:rsidP="00C140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В.В. Войтенко </w:t>
            </w:r>
          </w:p>
        </w:tc>
      </w:tr>
      <w:tr w:rsidR="00646E30" w:rsidTr="00C1406A">
        <w:tc>
          <w:tcPr>
            <w:tcW w:w="36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</w:t>
            </w: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6E30" w:rsidTr="00C1406A">
        <w:tc>
          <w:tcPr>
            <w:tcW w:w="36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6E30" w:rsidTr="00C1406A">
        <w:tc>
          <w:tcPr>
            <w:tcW w:w="36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1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6E30" w:rsidTr="00C1406A">
        <w:tc>
          <w:tcPr>
            <w:tcW w:w="3652" w:type="dxa"/>
          </w:tcPr>
          <w:p w:rsidR="00646E30" w:rsidRDefault="00646E30" w:rsidP="00C14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1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 керуючий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91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справами виконавчого комітету</w:t>
            </w:r>
          </w:p>
        </w:tc>
        <w:tc>
          <w:tcPr>
            <w:tcW w:w="2552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646E30" w:rsidRDefault="00646E30" w:rsidP="00C1406A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1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91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Волонтирець </w:t>
            </w:r>
          </w:p>
        </w:tc>
      </w:tr>
    </w:tbl>
    <w:p w:rsidR="00646E30" w:rsidRDefault="00646E30" w:rsidP="00646E3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E30" w:rsidRPr="00891D7E" w:rsidRDefault="00646E30" w:rsidP="00646E3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E30" w:rsidRDefault="00646E30" w:rsidP="0064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E30" w:rsidRDefault="00646E30" w:rsidP="0064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E30" w:rsidRDefault="00646E30" w:rsidP="0064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07F" w:rsidRPr="0069507F" w:rsidRDefault="0069507F" w:rsidP="0069507F">
      <w:pPr>
        <w:rPr>
          <w:rFonts w:ascii="Calibri" w:eastAsia="Calibri" w:hAnsi="Calibri" w:cs="Times New Roman"/>
        </w:rPr>
      </w:pPr>
    </w:p>
    <w:p w:rsidR="008B51D6" w:rsidRDefault="008B51D6"/>
    <w:sectPr w:rsidR="008B51D6" w:rsidSect="00BF2C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7F"/>
    <w:rsid w:val="00151223"/>
    <w:rsid w:val="00157591"/>
    <w:rsid w:val="002B61FE"/>
    <w:rsid w:val="00646E30"/>
    <w:rsid w:val="0069507F"/>
    <w:rsid w:val="008B51D6"/>
    <w:rsid w:val="00AF05C2"/>
    <w:rsid w:val="00BF2C8F"/>
    <w:rsid w:val="00F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5</cp:revision>
  <cp:lastPrinted>2016-03-30T06:37:00Z</cp:lastPrinted>
  <dcterms:created xsi:type="dcterms:W3CDTF">2016-03-30T06:01:00Z</dcterms:created>
  <dcterms:modified xsi:type="dcterms:W3CDTF">2016-04-12T10:31:00Z</dcterms:modified>
</cp:coreProperties>
</file>