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3A34B4" w:rsidRPr="00F11DA1" w:rsidTr="00B1240B">
        <w:trPr>
          <w:trHeight w:val="1122"/>
          <w:jc w:val="center"/>
        </w:trPr>
        <w:tc>
          <w:tcPr>
            <w:tcW w:w="4283" w:type="dxa"/>
          </w:tcPr>
          <w:p w:rsidR="003A34B4" w:rsidRPr="000A2118" w:rsidRDefault="003A34B4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3A34B4" w:rsidRDefault="003A34B4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0D" w:rsidRPr="00D85B44" w:rsidRDefault="00FA2A0D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3841" w:type="dxa"/>
          </w:tcPr>
          <w:p w:rsidR="003A34B4" w:rsidRPr="00385AE9" w:rsidRDefault="003A34B4" w:rsidP="00FA2A0D">
            <w:pPr>
              <w:jc w:val="center"/>
              <w:rPr>
                <w:lang w:val="uk-UA"/>
              </w:rPr>
            </w:pPr>
          </w:p>
        </w:tc>
      </w:tr>
    </w:tbl>
    <w:p w:rsidR="003A34B4" w:rsidRPr="00BE726D" w:rsidRDefault="003A34B4" w:rsidP="003A34B4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3A34B4" w:rsidRPr="0018346E" w:rsidRDefault="003A34B4" w:rsidP="003A34B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FA2A0D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3A34B4" w:rsidRPr="00BE726D" w:rsidRDefault="003A34B4" w:rsidP="003A34B4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3A34B4" w:rsidRPr="00BE726D" w:rsidRDefault="003A34B4" w:rsidP="003A34B4">
      <w:pPr>
        <w:rPr>
          <w:sz w:val="32"/>
          <w:szCs w:val="32"/>
          <w:lang w:val="uk-UA"/>
        </w:rPr>
      </w:pPr>
    </w:p>
    <w:p w:rsidR="003A34B4" w:rsidRPr="0018346E" w:rsidRDefault="003A34B4" w:rsidP="003A34B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2A0D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FA2A0D">
        <w:rPr>
          <w:sz w:val="28"/>
          <w:szCs w:val="28"/>
          <w:lang w:val="uk-UA"/>
        </w:rPr>
        <w:t>4640</w:t>
      </w:r>
      <w:r w:rsidRPr="0018346E">
        <w:rPr>
          <w:sz w:val="28"/>
          <w:szCs w:val="28"/>
          <w:lang w:val="uk-UA"/>
        </w:rPr>
        <w:t>-МР</w:t>
      </w:r>
    </w:p>
    <w:p w:rsidR="001E63B9" w:rsidRDefault="003A34B4" w:rsidP="003A34B4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  <w:r w:rsidR="001E63B9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954D2" w:rsidRPr="003A34B4" w:rsidTr="00CD6F4C">
        <w:trPr>
          <w:trHeight w:val="1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3A34B4" w:rsidRDefault="009954D2" w:rsidP="001E63B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3A34B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3A34B4">
              <w:rPr>
                <w:sz w:val="28"/>
                <w:szCs w:val="28"/>
                <w:lang w:val="uk-UA"/>
              </w:rPr>
              <w:t xml:space="preserve">відмову </w:t>
            </w:r>
            <w:r w:rsidR="00945A5B" w:rsidRPr="003A34B4">
              <w:rPr>
                <w:sz w:val="28"/>
                <w:szCs w:val="28"/>
                <w:lang w:val="uk-UA"/>
              </w:rPr>
              <w:t>Сердюк</w:t>
            </w:r>
            <w:r w:rsidR="003A34B4">
              <w:rPr>
                <w:sz w:val="28"/>
                <w:szCs w:val="28"/>
                <w:lang w:val="uk-UA"/>
              </w:rPr>
              <w:t>у</w:t>
            </w:r>
            <w:r w:rsidR="00945A5B" w:rsidRPr="003A34B4">
              <w:rPr>
                <w:sz w:val="28"/>
                <w:szCs w:val="28"/>
                <w:lang w:val="uk-UA"/>
              </w:rPr>
              <w:t xml:space="preserve"> Сергію Івановичу</w:t>
            </w:r>
            <w:r w:rsidR="00D47361" w:rsidRPr="003A34B4">
              <w:rPr>
                <w:sz w:val="28"/>
                <w:szCs w:val="28"/>
                <w:lang w:val="uk-UA"/>
              </w:rPr>
              <w:t xml:space="preserve"> </w:t>
            </w:r>
            <w:r w:rsidR="00BD6D3A" w:rsidRPr="003A34B4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3A34B4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3A34B4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3A34B4">
              <w:rPr>
                <w:sz w:val="28"/>
                <w:szCs w:val="28"/>
                <w:lang w:val="uk-UA"/>
              </w:rPr>
              <w:t xml:space="preserve"> </w:t>
            </w:r>
            <w:r w:rsidRPr="003A34B4"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 w:rsidRPr="003A34B4">
              <w:rPr>
                <w:sz w:val="28"/>
                <w:szCs w:val="28"/>
                <w:lang w:val="uk-UA"/>
              </w:rPr>
              <w:t xml:space="preserve">м. Суми, вул. </w:t>
            </w:r>
            <w:r w:rsidR="00945A5B" w:rsidRPr="003A34B4">
              <w:rPr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="00945A5B" w:rsidRPr="003A34B4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="00945A5B" w:rsidRPr="003A34B4">
              <w:rPr>
                <w:sz w:val="28"/>
                <w:szCs w:val="28"/>
                <w:lang w:val="uk-UA"/>
              </w:rPr>
              <w:t>, біля</w:t>
            </w:r>
            <w:r w:rsidR="001E63B9" w:rsidRPr="003A34B4">
              <w:rPr>
                <w:sz w:val="28"/>
                <w:szCs w:val="28"/>
                <w:lang w:val="uk-UA"/>
              </w:rPr>
              <w:t xml:space="preserve"> </w:t>
            </w:r>
            <w:r w:rsidR="00945A5B" w:rsidRPr="003A34B4">
              <w:rPr>
                <w:sz w:val="28"/>
                <w:szCs w:val="28"/>
                <w:lang w:val="uk-UA"/>
              </w:rPr>
              <w:t>буд. № 35,</w:t>
            </w:r>
            <w:r w:rsidR="00BF168B" w:rsidRPr="003A34B4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3A34B4">
              <w:rPr>
                <w:sz w:val="28"/>
                <w:szCs w:val="28"/>
                <w:lang w:val="uk-UA"/>
              </w:rPr>
              <w:t>0,</w:t>
            </w:r>
            <w:r w:rsidR="00945A5B" w:rsidRPr="003A34B4">
              <w:rPr>
                <w:sz w:val="28"/>
                <w:szCs w:val="28"/>
                <w:lang w:val="uk-UA"/>
              </w:rPr>
              <w:t>0500</w:t>
            </w:r>
            <w:r w:rsidR="00650B2D" w:rsidRPr="003A34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FA2A0D" w:rsidRDefault="00FA2A0D" w:rsidP="00CD6F4C">
      <w:pPr>
        <w:ind w:firstLine="567"/>
        <w:jc w:val="both"/>
        <w:rPr>
          <w:sz w:val="28"/>
          <w:szCs w:val="28"/>
          <w:lang w:val="uk-UA"/>
        </w:rPr>
      </w:pPr>
    </w:p>
    <w:p w:rsidR="00CD6F4C" w:rsidRPr="003A34B4" w:rsidRDefault="006776BD" w:rsidP="00CD6F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A1DD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A34B4" w:rsidRPr="00F81C91">
        <w:rPr>
          <w:sz w:val="28"/>
          <w:szCs w:val="28"/>
          <w:lang w:val="uk-UA"/>
        </w:rPr>
        <w:t xml:space="preserve">враховуючи </w:t>
      </w:r>
      <w:r w:rsidR="003A34B4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</w:t>
      </w:r>
      <w:r w:rsidR="00350719" w:rsidRPr="00F81C91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D6F4C">
        <w:rPr>
          <w:sz w:val="28"/>
          <w:szCs w:val="28"/>
          <w:lang w:val="uk-UA"/>
        </w:rPr>
        <w:t xml:space="preserve">від </w:t>
      </w:r>
      <w:r w:rsidR="003A34B4">
        <w:rPr>
          <w:sz w:val="28"/>
          <w:szCs w:val="28"/>
          <w:lang w:val="uk-UA"/>
        </w:rPr>
        <w:t xml:space="preserve">                               </w:t>
      </w:r>
      <w:r w:rsidR="00CD6F4C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D6F4C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3A34B4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3A34B4">
        <w:rPr>
          <w:sz w:val="28"/>
          <w:szCs w:val="28"/>
          <w:lang w:val="uk-UA"/>
        </w:rPr>
        <w:t>«</w:t>
      </w:r>
      <w:r w:rsidR="003A34B4" w:rsidRPr="0018346E">
        <w:rPr>
          <w:sz w:val="28"/>
          <w:szCs w:val="28"/>
          <w:lang w:val="uk-UA"/>
        </w:rPr>
        <w:t>Про м</w:t>
      </w:r>
      <w:r w:rsidR="003A34B4">
        <w:rPr>
          <w:sz w:val="28"/>
          <w:szCs w:val="28"/>
          <w:lang w:val="uk-UA"/>
        </w:rPr>
        <w:t>ісцеве самоврядування в Україні»</w:t>
      </w:r>
      <w:r w:rsidR="003A34B4" w:rsidRPr="0018346E">
        <w:rPr>
          <w:sz w:val="28"/>
          <w:szCs w:val="28"/>
          <w:lang w:val="uk-UA"/>
        </w:rPr>
        <w:t xml:space="preserve">, </w:t>
      </w:r>
      <w:r w:rsidR="003A34B4" w:rsidRPr="0018346E">
        <w:rPr>
          <w:b/>
          <w:sz w:val="28"/>
          <w:szCs w:val="28"/>
          <w:lang w:val="uk-UA"/>
        </w:rPr>
        <w:t>Сумська міська рада</w:t>
      </w:r>
    </w:p>
    <w:p w:rsidR="00CD6F4C" w:rsidRPr="003A34B4" w:rsidRDefault="00CD6F4C" w:rsidP="00CD6F4C">
      <w:pPr>
        <w:ind w:firstLine="708"/>
        <w:jc w:val="both"/>
        <w:rPr>
          <w:sz w:val="24"/>
          <w:szCs w:val="24"/>
          <w:lang w:val="uk-UA"/>
        </w:rPr>
      </w:pPr>
    </w:p>
    <w:p w:rsidR="00CD6F4C" w:rsidRPr="00CD6F4C" w:rsidRDefault="003A34B4" w:rsidP="00CD6F4C">
      <w:pPr>
        <w:spacing w:before="120"/>
        <w:jc w:val="center"/>
        <w:rPr>
          <w:b/>
          <w:sz w:val="28"/>
          <w:szCs w:val="28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CD6F4C">
      <w:pPr>
        <w:ind w:firstLine="567"/>
        <w:jc w:val="both"/>
        <w:rPr>
          <w:b/>
          <w:sz w:val="28"/>
          <w:szCs w:val="28"/>
          <w:lang w:val="uk-UA"/>
        </w:rPr>
      </w:pPr>
    </w:p>
    <w:p w:rsidR="002A14DE" w:rsidRDefault="009954D2" w:rsidP="0057403A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33FD">
        <w:rPr>
          <w:bCs/>
          <w:sz w:val="28"/>
          <w:lang w:val="uk-UA"/>
        </w:rPr>
        <w:t>Сердюк</w:t>
      </w:r>
      <w:r w:rsidR="003A34B4">
        <w:rPr>
          <w:bCs/>
          <w:sz w:val="28"/>
          <w:lang w:val="uk-UA"/>
        </w:rPr>
        <w:t>у</w:t>
      </w:r>
      <w:r w:rsidR="000033FD">
        <w:rPr>
          <w:bCs/>
          <w:sz w:val="28"/>
          <w:lang w:val="uk-UA"/>
        </w:rPr>
        <w:t xml:space="preserve"> Сергію Івановичу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0033FD">
        <w:rPr>
          <w:sz w:val="28"/>
          <w:szCs w:val="28"/>
          <w:lang w:val="uk-UA"/>
        </w:rPr>
        <w:t>В</w:t>
      </w:r>
      <w:r w:rsidR="000033FD" w:rsidRPr="000033FD">
        <w:rPr>
          <w:sz w:val="28"/>
          <w:szCs w:val="28"/>
          <w:lang w:val="uk-UA"/>
        </w:rPr>
        <w:t>’</w:t>
      </w:r>
      <w:r w:rsidR="000033FD">
        <w:rPr>
          <w:sz w:val="28"/>
          <w:szCs w:val="28"/>
          <w:lang w:val="uk-UA"/>
        </w:rPr>
        <w:t>ячеслава Чорновола, біля буд. № 35, орієнтовною площею 0,0500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жилого будинку, господарських будівель і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722A78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на вільній території, що використовується для під’їздів та розмі</w:t>
      </w:r>
      <w:r w:rsidR="006E169F">
        <w:rPr>
          <w:color w:val="000000"/>
          <w:sz w:val="28"/>
          <w:szCs w:val="28"/>
          <w:shd w:val="clear" w:color="auto" w:fill="FFFFFF"/>
          <w:lang w:val="uk-UA"/>
        </w:rPr>
        <w:t xml:space="preserve">щення інженерних споруд, а також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частково в межах зони транспортної інфраструктури ТР-2 – проектної червоної лінії магістральної вулиці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57A02" w:rsidRPr="00722A78">
        <w:rPr>
          <w:sz w:val="28"/>
          <w:szCs w:val="28"/>
          <w:shd w:val="clear" w:color="auto" w:fill="FFFFFF"/>
          <w:lang w:val="uk-UA"/>
        </w:rPr>
        <w:t>де переважними та супутніми видами</w:t>
      </w:r>
      <w:r w:rsidR="00B93452" w:rsidRPr="00722A78">
        <w:rPr>
          <w:sz w:val="28"/>
          <w:szCs w:val="28"/>
          <w:shd w:val="clear" w:color="auto" w:fill="FFFFFF"/>
          <w:lang w:val="uk-UA"/>
        </w:rPr>
        <w:t xml:space="preserve"> використання розміщення </w:t>
      </w:r>
      <w:r w:rsidR="00691B2C" w:rsidRPr="00722A78">
        <w:rPr>
          <w:sz w:val="28"/>
          <w:szCs w:val="28"/>
          <w:lang w:val="uk-UA"/>
        </w:rPr>
        <w:t>жилого будинку, господарських будівель і споруд</w:t>
      </w:r>
      <w:r w:rsidR="00057A02" w:rsidRPr="00722A78">
        <w:rPr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D032F5" w:rsidRPr="00722A78">
        <w:rPr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91B2C">
        <w:rPr>
          <w:sz w:val="28"/>
          <w:szCs w:val="28"/>
          <w:lang w:val="uk-UA"/>
        </w:rPr>
        <w:t>неможливістю визначення функціонального призначення території, що в свою чергу не дає змоги встановити відповідність</w:t>
      </w:r>
      <w:r w:rsidR="00B858D2" w:rsidRPr="0092215D">
        <w:rPr>
          <w:sz w:val="28"/>
          <w:szCs w:val="28"/>
          <w:lang w:val="uk-UA"/>
        </w:rPr>
        <w:t xml:space="preserve">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5A5759">
        <w:rPr>
          <w:sz w:val="28"/>
          <w:szCs w:val="28"/>
          <w:lang w:val="uk-UA"/>
        </w:rPr>
        <w:t>)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ержавним будівельним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норм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ам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 та ДБН В.2.5-20:2018 «Газопостачання»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91B2C" w:rsidRPr="003B3901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ного господарства України від 15.11.2018 р. №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305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навколо ГРП (газорозподільний пункт)(знаходиться на земельній ділянці) та підземного газопроводу високого тиску (проходить через земельну ділянку), встановлюються відповідні охоронні зони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3A34B4" w:rsidRDefault="003A34B4" w:rsidP="009954D2">
      <w:pPr>
        <w:jc w:val="both"/>
        <w:rPr>
          <w:sz w:val="28"/>
          <w:szCs w:val="28"/>
          <w:lang w:val="uk-UA"/>
        </w:rPr>
      </w:pPr>
    </w:p>
    <w:p w:rsidR="003A34B4" w:rsidRDefault="003A34B4" w:rsidP="003A34B4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3A34B4" w:rsidRDefault="003A34B4" w:rsidP="003A34B4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3A34B4" w:rsidRPr="003A34B4" w:rsidRDefault="003A34B4" w:rsidP="003A34B4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3A34B4">
        <w:rPr>
          <w:b w:val="0"/>
          <w:sz w:val="24"/>
          <w:szCs w:val="24"/>
          <w:lang w:val="uk-UA"/>
        </w:rPr>
        <w:t>Виконавець: Клименко Юрій</w:t>
      </w: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sectPr w:rsidR="003A34B4" w:rsidSect="003A34B4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63B9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A34B4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403A"/>
    <w:rsid w:val="005750DD"/>
    <w:rsid w:val="005A5759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1B2C"/>
    <w:rsid w:val="00692C46"/>
    <w:rsid w:val="00697918"/>
    <w:rsid w:val="006B3C32"/>
    <w:rsid w:val="006C015B"/>
    <w:rsid w:val="006C12CB"/>
    <w:rsid w:val="006D7D10"/>
    <w:rsid w:val="006E169F"/>
    <w:rsid w:val="006F5B73"/>
    <w:rsid w:val="007013E4"/>
    <w:rsid w:val="007100E3"/>
    <w:rsid w:val="007145F1"/>
    <w:rsid w:val="00722A78"/>
    <w:rsid w:val="007265F2"/>
    <w:rsid w:val="00731409"/>
    <w:rsid w:val="00762B00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21FE1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D6F4C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235CF"/>
    <w:rsid w:val="00F35A33"/>
    <w:rsid w:val="00F4040F"/>
    <w:rsid w:val="00F4236A"/>
    <w:rsid w:val="00F4325E"/>
    <w:rsid w:val="00F64F29"/>
    <w:rsid w:val="00F85AD9"/>
    <w:rsid w:val="00FA2A0D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C3C7-21C6-44C9-9DA7-87DE1F6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34B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D6F4C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3A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A34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A34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</cp:revision>
  <cp:lastPrinted>2020-01-16T09:39:00Z</cp:lastPrinted>
  <dcterms:created xsi:type="dcterms:W3CDTF">2023-11-14T12:20:00Z</dcterms:created>
  <dcterms:modified xsi:type="dcterms:W3CDTF">2024-03-29T12:37:00Z</dcterms:modified>
</cp:coreProperties>
</file>