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A45" w:rsidRDefault="00867A4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7A6C85" w:rsidRPr="001D7EA8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1D7EA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867A45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67A45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67A45" w:rsidRPr="001A4525">
        <w:rPr>
          <w:sz w:val="28"/>
          <w:szCs w:val="28"/>
        </w:rPr>
        <w:t xml:space="preserve">09 </w:t>
      </w:r>
      <w:r w:rsidR="00867A45">
        <w:rPr>
          <w:sz w:val="28"/>
          <w:szCs w:val="28"/>
          <w:lang w:val="uk-UA"/>
        </w:rPr>
        <w:t xml:space="preserve">серпня </w:t>
      </w:r>
      <w:r w:rsidR="009446AC">
        <w:rPr>
          <w:sz w:val="28"/>
          <w:szCs w:val="28"/>
          <w:lang w:val="uk-UA"/>
        </w:rPr>
        <w:t>202</w:t>
      </w:r>
      <w:r w:rsidR="001D7EA8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867A45">
        <w:rPr>
          <w:sz w:val="28"/>
          <w:szCs w:val="28"/>
          <w:lang w:val="uk-UA"/>
        </w:rPr>
        <w:t>4058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67A45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D7EA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1C3A8A">
              <w:rPr>
                <w:sz w:val="28"/>
                <w:szCs w:val="28"/>
                <w:lang w:val="uk-UA"/>
              </w:rPr>
              <w:t>Товариству з об</w:t>
            </w:r>
            <w:r w:rsidR="00A44999">
              <w:rPr>
                <w:sz w:val="28"/>
                <w:szCs w:val="28"/>
                <w:lang w:val="uk-UA"/>
              </w:rPr>
              <w:t>м</w:t>
            </w:r>
            <w:r w:rsidR="001C3A8A">
              <w:rPr>
                <w:sz w:val="28"/>
                <w:szCs w:val="28"/>
                <w:lang w:val="uk-UA"/>
              </w:rPr>
              <w:t>еженою відповідальністю «</w:t>
            </w:r>
            <w:r w:rsidR="00867A45">
              <w:rPr>
                <w:sz w:val="28"/>
                <w:szCs w:val="28"/>
                <w:lang w:val="uk-UA"/>
              </w:rPr>
              <w:t>ФІЛБЕ</w:t>
            </w:r>
            <w:r w:rsidR="007E74E4">
              <w:rPr>
                <w:sz w:val="28"/>
                <w:szCs w:val="28"/>
                <w:lang w:val="uk-UA"/>
              </w:rPr>
              <w:t>Т ХАВЕСТ ІНВЕСТМЕН</w:t>
            </w:r>
            <w:r w:rsidR="00867A45">
              <w:rPr>
                <w:sz w:val="28"/>
                <w:szCs w:val="28"/>
                <w:lang w:val="uk-UA"/>
              </w:rPr>
              <w:t>Т</w:t>
            </w:r>
            <w:r w:rsidR="001C3A8A">
              <w:rPr>
                <w:sz w:val="28"/>
                <w:szCs w:val="28"/>
                <w:lang w:val="uk-UA"/>
              </w:rPr>
              <w:t>»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C64174">
              <w:rPr>
                <w:sz w:val="28"/>
                <w:szCs w:val="28"/>
                <w:lang w:val="uk-UA"/>
              </w:rPr>
              <w:t xml:space="preserve"> </w:t>
            </w:r>
            <w:r w:rsidR="001675DF">
              <w:rPr>
                <w:sz w:val="28"/>
                <w:szCs w:val="28"/>
                <w:lang w:val="uk-UA"/>
              </w:rPr>
              <w:t>вул.</w:t>
            </w:r>
            <w:r w:rsidR="007E74E4">
              <w:rPr>
                <w:sz w:val="28"/>
                <w:szCs w:val="28"/>
                <w:lang w:val="uk-UA"/>
              </w:rPr>
              <w:t xml:space="preserve"> Данила Галицького, 68-А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7E74E4">
              <w:rPr>
                <w:sz w:val="28"/>
                <w:szCs w:val="28"/>
                <w:lang w:val="uk-UA"/>
              </w:rPr>
              <w:t>0,2000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867A45" w:rsidRDefault="00867A45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1F2733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</w:t>
      </w:r>
      <w:r w:rsidR="001F2733" w:rsidRPr="009D1939">
        <w:rPr>
          <w:sz w:val="28"/>
          <w:szCs w:val="28"/>
          <w:lang w:val="uk-UA"/>
        </w:rPr>
        <w:t xml:space="preserve">частини </w:t>
      </w:r>
      <w:r w:rsidR="001F2733">
        <w:rPr>
          <w:sz w:val="28"/>
          <w:szCs w:val="28"/>
          <w:lang w:val="uk-UA"/>
        </w:rPr>
        <w:t xml:space="preserve">четвертої </w:t>
      </w:r>
      <w:r w:rsidR="001F2733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1F2733">
        <w:rPr>
          <w:sz w:val="28"/>
          <w:szCs w:val="28"/>
          <w:lang w:val="uk-UA"/>
        </w:rPr>
        <w:t xml:space="preserve">, частини першої статті 19 </w:t>
      </w:r>
      <w:r w:rsidR="001F2733" w:rsidRPr="008134BB">
        <w:rPr>
          <w:sz w:val="28"/>
          <w:szCs w:val="28"/>
          <w:lang w:val="uk-UA"/>
        </w:rPr>
        <w:t>Закону України «Про оренду землі»</w:t>
      </w:r>
      <w:r w:rsidR="001F2733">
        <w:rPr>
          <w:sz w:val="28"/>
          <w:szCs w:val="28"/>
          <w:lang w:val="uk-UA"/>
        </w:rPr>
        <w:t>, враховуючи рекомендації</w:t>
      </w:r>
      <w:r w:rsidR="001F2733" w:rsidRPr="007F0C33">
        <w:rPr>
          <w:sz w:val="28"/>
          <w:szCs w:val="28"/>
          <w:lang w:val="uk-UA"/>
        </w:rPr>
        <w:t xml:space="preserve"> засідан</w:t>
      </w:r>
      <w:r w:rsidR="001F2733">
        <w:rPr>
          <w:sz w:val="28"/>
          <w:szCs w:val="28"/>
          <w:lang w:val="uk-UA"/>
        </w:rPr>
        <w:t>ня</w:t>
      </w:r>
      <w:r w:rsidR="001F2733" w:rsidRPr="007F0C33">
        <w:rPr>
          <w:sz w:val="28"/>
          <w:szCs w:val="28"/>
          <w:lang w:val="uk-UA"/>
        </w:rPr>
        <w:t xml:space="preserve"> постійної комісії</w:t>
      </w:r>
      <w:r w:rsidR="001F2733" w:rsidRPr="008B6D39">
        <w:rPr>
          <w:sz w:val="28"/>
          <w:szCs w:val="28"/>
          <w:lang w:val="uk-UA"/>
        </w:rPr>
        <w:t xml:space="preserve"> </w:t>
      </w:r>
      <w:r w:rsidR="001F2733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1F2733">
        <w:rPr>
          <w:sz w:val="28"/>
          <w:szCs w:val="28"/>
          <w:lang w:val="uk-UA"/>
        </w:rPr>
        <w:t xml:space="preserve"> </w:t>
      </w:r>
      <w:r w:rsidR="001F2733" w:rsidRPr="008B6D39">
        <w:rPr>
          <w:sz w:val="28"/>
          <w:szCs w:val="28"/>
          <w:lang w:val="uk-UA"/>
        </w:rPr>
        <w:t>Сумської міської ради</w:t>
      </w:r>
      <w:r w:rsidR="001F2733">
        <w:rPr>
          <w:sz w:val="28"/>
          <w:szCs w:val="28"/>
          <w:lang w:val="uk-UA"/>
        </w:rPr>
        <w:t xml:space="preserve"> (протокол від 22 березня 2023 року </w:t>
      </w:r>
      <w:r w:rsidR="001F2733" w:rsidRPr="00242B77">
        <w:rPr>
          <w:sz w:val="28"/>
          <w:szCs w:val="28"/>
          <w:lang w:val="uk-UA"/>
        </w:rPr>
        <w:t>№</w:t>
      </w:r>
      <w:r w:rsidR="001F2733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1F2733">
        <w:rPr>
          <w:b/>
          <w:sz w:val="28"/>
          <w:szCs w:val="28"/>
          <w:lang w:val="uk-UA"/>
        </w:rPr>
        <w:t>Сумська міська рада</w:t>
      </w:r>
      <w:r w:rsidR="001F2733">
        <w:rPr>
          <w:sz w:val="28"/>
          <w:szCs w:val="28"/>
          <w:lang w:val="uk-UA"/>
        </w:rPr>
        <w:t xml:space="preserve">  </w:t>
      </w:r>
    </w:p>
    <w:p w:rsidR="001D7EA8" w:rsidRPr="001D7EA8" w:rsidRDefault="001D7EA8" w:rsidP="007A6C85">
      <w:pPr>
        <w:ind w:firstLine="720"/>
        <w:jc w:val="both"/>
        <w:rPr>
          <w:sz w:val="6"/>
          <w:szCs w:val="6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1D7EA8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1F2733" w:rsidRPr="00547011" w:rsidRDefault="001F2733" w:rsidP="001F27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</w:t>
      </w:r>
      <w:bookmarkStart w:id="0" w:name="_GoBack"/>
      <w:bookmarkEnd w:id="0"/>
      <w:r>
        <w:rPr>
          <w:sz w:val="28"/>
          <w:szCs w:val="28"/>
          <w:lang w:val="uk-UA"/>
        </w:rPr>
        <w:t>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867A45">
        <w:rPr>
          <w:sz w:val="28"/>
          <w:szCs w:val="28"/>
          <w:lang w:val="uk-UA"/>
        </w:rPr>
        <w:t>«ФІЛБЕТ ХАВЕСТ ІНВЕСТМЕНТ»</w:t>
      </w:r>
      <w:r>
        <w:rPr>
          <w:sz w:val="28"/>
          <w:szCs w:val="28"/>
          <w:lang w:val="uk-UA"/>
        </w:rPr>
        <w:t xml:space="preserve">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1A4525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1D7EA8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1D7EA8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44999" w:rsidRPr="008134BB">
        <w:rPr>
          <w:sz w:val="28"/>
          <w:szCs w:val="28"/>
          <w:lang w:val="uk-UA"/>
        </w:rPr>
        <w:t xml:space="preserve">Про </w:t>
      </w:r>
      <w:r w:rsidR="00A44999">
        <w:rPr>
          <w:sz w:val="28"/>
          <w:szCs w:val="28"/>
          <w:lang w:val="uk-UA"/>
        </w:rPr>
        <w:t>надання в оренду земельної ділянки Товариству з об</w:t>
      </w:r>
      <w:r w:rsidR="00A72181">
        <w:rPr>
          <w:sz w:val="28"/>
          <w:szCs w:val="28"/>
          <w:lang w:val="uk-UA"/>
        </w:rPr>
        <w:t>ме</w:t>
      </w:r>
      <w:r w:rsidR="00A44999">
        <w:rPr>
          <w:sz w:val="28"/>
          <w:szCs w:val="28"/>
          <w:lang w:val="uk-UA"/>
        </w:rPr>
        <w:t>женою відповідальністю «</w:t>
      </w:r>
      <w:r w:rsidR="00867A45">
        <w:rPr>
          <w:sz w:val="28"/>
          <w:szCs w:val="28"/>
          <w:lang w:val="uk-UA"/>
        </w:rPr>
        <w:t xml:space="preserve">«ФІЛБЕТ ХАВЕСТ ІНВЕСТМЕНТ» </w:t>
      </w:r>
      <w:r w:rsidR="00A44999">
        <w:rPr>
          <w:sz w:val="28"/>
          <w:szCs w:val="28"/>
          <w:lang w:val="uk-UA"/>
        </w:rPr>
        <w:t>за адресою: м. Суми,</w:t>
      </w:r>
      <w:r w:rsidR="00A44999" w:rsidRPr="00D42DE5">
        <w:rPr>
          <w:sz w:val="28"/>
          <w:szCs w:val="28"/>
          <w:lang w:val="uk-UA"/>
        </w:rPr>
        <w:t xml:space="preserve"> </w:t>
      </w:r>
      <w:r w:rsidR="00A44999">
        <w:rPr>
          <w:sz w:val="28"/>
          <w:szCs w:val="28"/>
          <w:lang w:val="uk-UA"/>
        </w:rPr>
        <w:t xml:space="preserve">                                                   вул. Данила Галицького, 68-А, площею  0,2000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67A45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D778BC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</w:t>
      </w:r>
      <w:r w:rsidR="00867A45">
        <w:rPr>
          <w:sz w:val="28"/>
          <w:szCs w:val="28"/>
          <w:lang w:val="uk-UA"/>
        </w:rPr>
        <w:t>4058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3157"/>
        <w:gridCol w:w="4534"/>
        <w:gridCol w:w="1701"/>
        <w:gridCol w:w="2411"/>
        <w:gridCol w:w="2836"/>
      </w:tblGrid>
      <w:tr w:rsidR="00D778BC" w:rsidRPr="004F580C" w:rsidTr="001D7EA8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2C12C2" w:rsidRDefault="00D778B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778BC" w:rsidRDefault="00D778B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D778BC" w:rsidRPr="00862403" w:rsidRDefault="00D778B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778BC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778BC" w:rsidRPr="00862403" w:rsidRDefault="00D778BC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BC" w:rsidRPr="00862403" w:rsidRDefault="00D778B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778BC" w:rsidRPr="004F580C" w:rsidTr="001D7EA8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BC" w:rsidRPr="004F580C" w:rsidRDefault="00D778B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778BC" w:rsidRPr="00B3227B" w:rsidTr="001D7EA8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D778BC" w:rsidRPr="00D778BC" w:rsidRDefault="00D778BC" w:rsidP="00D778BC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  <w:r w:rsidR="00867A45">
              <w:rPr>
                <w:sz w:val="28"/>
                <w:szCs w:val="28"/>
                <w:lang w:val="uk-UA"/>
              </w:rPr>
              <w:t>«ФІЛБЕТ ХАВЕСТ ІНВЕСТМЕНТ»,</w:t>
            </w:r>
          </w:p>
          <w:p w:rsidR="00D778BC" w:rsidRPr="00D778BC" w:rsidRDefault="00D778BC" w:rsidP="00D778BC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43987484</w:t>
            </w:r>
          </w:p>
        </w:tc>
        <w:tc>
          <w:tcPr>
            <w:tcW w:w="1495" w:type="pct"/>
            <w:shd w:val="clear" w:color="auto" w:fill="auto"/>
          </w:tcPr>
          <w:p w:rsidR="00D778BC" w:rsidRPr="00D778BC" w:rsidRDefault="00D778BC" w:rsidP="00D778BC">
            <w:pPr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 w:rsidRPr="00D778BC">
              <w:rPr>
                <w:sz w:val="28"/>
                <w:szCs w:val="28"/>
                <w:lang w:val="uk-UA"/>
              </w:rPr>
              <w:t>адмінбудівлею</w:t>
            </w:r>
            <w:proofErr w:type="spellEnd"/>
          </w:p>
          <w:p w:rsidR="00D778BC" w:rsidRPr="00D778BC" w:rsidRDefault="00D778BC" w:rsidP="00D778BC">
            <w:pPr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вул. Данила Галицького, 68-А</w:t>
            </w:r>
          </w:p>
          <w:p w:rsidR="00D778BC" w:rsidRPr="00D778BC" w:rsidRDefault="00D778BC" w:rsidP="00D778BC">
            <w:pPr>
              <w:ind w:right="-111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5910136600:21:008:0002</w:t>
            </w:r>
          </w:p>
          <w:p w:rsidR="00D778BC" w:rsidRDefault="00D778BC" w:rsidP="00D778B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D7EA8" w:rsidRPr="00D778BC" w:rsidRDefault="001D7EA8" w:rsidP="00D778B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778BC" w:rsidRPr="00D778BC" w:rsidRDefault="00D778BC" w:rsidP="00D778BC">
            <w:pPr>
              <w:jc w:val="both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41122719 від 23.03.2021, реєстраційний номер об’єкта нерухомого майна: 2319006659101)</w:t>
            </w:r>
          </w:p>
        </w:tc>
        <w:tc>
          <w:tcPr>
            <w:tcW w:w="561" w:type="pct"/>
            <w:shd w:val="clear" w:color="auto" w:fill="auto"/>
          </w:tcPr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0,2000</w:t>
            </w:r>
          </w:p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78BC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95" w:type="pct"/>
            <w:shd w:val="clear" w:color="auto" w:fill="auto"/>
          </w:tcPr>
          <w:p w:rsidR="00D778BC" w:rsidRPr="00D778BC" w:rsidRDefault="00D778BC" w:rsidP="00867A4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935" w:type="pct"/>
            <w:shd w:val="clear" w:color="auto" w:fill="auto"/>
          </w:tcPr>
          <w:p w:rsidR="00D778BC" w:rsidRPr="00D778BC" w:rsidRDefault="00D778BC" w:rsidP="00D778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4,0</w:t>
            </w:r>
          </w:p>
          <w:p w:rsidR="00D778BC" w:rsidRPr="00D778BC" w:rsidRDefault="00D778BC" w:rsidP="00D778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D778BC" w:rsidRPr="00D778BC" w:rsidRDefault="00D778BC" w:rsidP="00D778BC">
            <w:pPr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(2,0</w:t>
            </w:r>
          </w:p>
          <w:p w:rsidR="00D778BC" w:rsidRPr="00D778BC" w:rsidRDefault="00D778BC" w:rsidP="00D778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778BC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D778BC" w:rsidRPr="00D778BC" w:rsidRDefault="00D778BC" w:rsidP="00D778B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867A45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7575A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478"/>
    <w:rsid w:val="001875E9"/>
    <w:rsid w:val="001A06C5"/>
    <w:rsid w:val="001A1C3C"/>
    <w:rsid w:val="001A2C47"/>
    <w:rsid w:val="001A4525"/>
    <w:rsid w:val="001C35ED"/>
    <w:rsid w:val="001C3A8A"/>
    <w:rsid w:val="001D547C"/>
    <w:rsid w:val="001D7EA8"/>
    <w:rsid w:val="001F2733"/>
    <w:rsid w:val="001F7D67"/>
    <w:rsid w:val="002021DC"/>
    <w:rsid w:val="0025269E"/>
    <w:rsid w:val="00264E74"/>
    <w:rsid w:val="00286A79"/>
    <w:rsid w:val="00292FAB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0E9C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3477B"/>
    <w:rsid w:val="006409F4"/>
    <w:rsid w:val="00666AFB"/>
    <w:rsid w:val="00676EA7"/>
    <w:rsid w:val="00682AD6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4E4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67A45"/>
    <w:rsid w:val="00871944"/>
    <w:rsid w:val="008751F5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4999"/>
    <w:rsid w:val="00A45D74"/>
    <w:rsid w:val="00A47DA1"/>
    <w:rsid w:val="00A54412"/>
    <w:rsid w:val="00A57C68"/>
    <w:rsid w:val="00A609EE"/>
    <w:rsid w:val="00A72181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77D5F"/>
    <w:rsid w:val="00C86EA6"/>
    <w:rsid w:val="00C92B0A"/>
    <w:rsid w:val="00CA2589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778BC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DCD6-FF99-4E3C-8FAD-913462E6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2023-08-11T04:29:00Z</cp:lastPrinted>
  <dcterms:created xsi:type="dcterms:W3CDTF">2023-08-10T10:18:00Z</dcterms:created>
  <dcterms:modified xsi:type="dcterms:W3CDTF">2023-08-11T04:32:00Z</dcterms:modified>
</cp:coreProperties>
</file>