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8E1290" w:rsidRDefault="00130C7F" w:rsidP="006706ED">
      <w:pPr>
        <w:ind w:left="11199"/>
        <w:rPr>
          <w:color w:val="000000" w:themeColor="text1"/>
          <w:sz w:val="28"/>
          <w:szCs w:val="28"/>
        </w:rPr>
      </w:pPr>
      <w:r w:rsidRPr="008E1290">
        <w:rPr>
          <w:color w:val="000000" w:themeColor="text1"/>
          <w:sz w:val="28"/>
          <w:szCs w:val="28"/>
        </w:rPr>
        <w:t xml:space="preserve">  </w:t>
      </w:r>
      <w:r w:rsidR="00A07271" w:rsidRPr="008E1290">
        <w:rPr>
          <w:color w:val="000000" w:themeColor="text1"/>
          <w:sz w:val="28"/>
          <w:szCs w:val="28"/>
        </w:rPr>
        <w:t xml:space="preserve"> </w:t>
      </w:r>
      <w:r w:rsidR="00E56D33" w:rsidRPr="008E1290">
        <w:rPr>
          <w:color w:val="000000" w:themeColor="text1"/>
          <w:sz w:val="28"/>
          <w:szCs w:val="28"/>
        </w:rPr>
        <w:t>Додаток  2</w:t>
      </w:r>
    </w:p>
    <w:p w:rsidR="00E56D33" w:rsidRPr="008E1290" w:rsidRDefault="00E56D33" w:rsidP="00E56D33">
      <w:pPr>
        <w:tabs>
          <w:tab w:val="left" w:pos="8505"/>
        </w:tabs>
        <w:ind w:left="8505"/>
        <w:jc w:val="both"/>
        <w:rPr>
          <w:color w:val="000000" w:themeColor="text1"/>
          <w:sz w:val="28"/>
          <w:szCs w:val="28"/>
        </w:rPr>
      </w:pPr>
      <w:r w:rsidRPr="008E1290">
        <w:rPr>
          <w:color w:val="000000" w:themeColor="text1"/>
          <w:sz w:val="28"/>
          <w:szCs w:val="28"/>
        </w:rPr>
        <w:t xml:space="preserve">                                         до Програми </w:t>
      </w:r>
    </w:p>
    <w:p w:rsidR="00E56D33" w:rsidRPr="008E1290" w:rsidRDefault="00E56D33" w:rsidP="00E56D33">
      <w:pPr>
        <w:jc w:val="both"/>
        <w:rPr>
          <w:color w:val="000000" w:themeColor="text1"/>
          <w:sz w:val="12"/>
          <w:szCs w:val="12"/>
        </w:rPr>
      </w:pPr>
    </w:p>
    <w:p w:rsidR="00E56D33" w:rsidRPr="008E1290" w:rsidRDefault="00E56D33" w:rsidP="00E56D33">
      <w:pPr>
        <w:jc w:val="center"/>
        <w:rPr>
          <w:b/>
          <w:color w:val="000000" w:themeColor="text1"/>
        </w:rPr>
      </w:pPr>
      <w:r w:rsidRPr="008E1290">
        <w:rPr>
          <w:b/>
          <w:color w:val="000000" w:themeColor="text1"/>
        </w:rPr>
        <w:t>Перелік завдань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sidR="008E1290" w:rsidRPr="008E1290">
        <w:rPr>
          <w:b/>
          <w:color w:val="000000" w:themeColor="text1"/>
        </w:rPr>
        <w:t>2</w:t>
      </w:r>
      <w:r w:rsidRPr="008E1290">
        <w:rPr>
          <w:b/>
          <w:color w:val="000000" w:themeColor="text1"/>
        </w:rPr>
        <w:t>-202</w:t>
      </w:r>
      <w:r w:rsidR="008E1290" w:rsidRPr="008E1290">
        <w:rPr>
          <w:b/>
          <w:color w:val="000000" w:themeColor="text1"/>
        </w:rPr>
        <w:t>4</w:t>
      </w:r>
      <w:r w:rsidRPr="008E1290">
        <w:rPr>
          <w:b/>
          <w:color w:val="000000" w:themeColor="text1"/>
        </w:rPr>
        <w:t xml:space="preserve"> роки</w:t>
      </w:r>
    </w:p>
    <w:p w:rsidR="00E56D33" w:rsidRPr="008E1290" w:rsidRDefault="00E56D33" w:rsidP="00E56D33">
      <w:pPr>
        <w:jc w:val="right"/>
        <w:rPr>
          <w:color w:val="000000" w:themeColor="text1"/>
        </w:rPr>
      </w:pPr>
      <w:r w:rsidRPr="008E1290">
        <w:rPr>
          <w:color w:val="000000" w:themeColor="text1"/>
        </w:rPr>
        <w:t xml:space="preserve"> </w:t>
      </w:r>
      <w:r w:rsidRPr="008E1290">
        <w:rPr>
          <w:color w:val="000000" w:themeColor="text1"/>
          <w:lang w:val="ru-RU"/>
        </w:rPr>
        <w:t xml:space="preserve">тис. </w:t>
      </w:r>
      <w:r w:rsidRPr="008E1290">
        <w:rPr>
          <w:color w:val="000000" w:themeColor="text1"/>
        </w:rPr>
        <w:t>грн.</w:t>
      </w:r>
    </w:p>
    <w:tbl>
      <w:tblPr>
        <w:tblpPr w:leftFromText="180" w:rightFromText="180" w:vertAnchor="text" w:tblpXSpec="center"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1539"/>
        <w:gridCol w:w="922"/>
        <w:gridCol w:w="833"/>
        <w:gridCol w:w="960"/>
        <w:gridCol w:w="833"/>
        <w:gridCol w:w="833"/>
        <w:gridCol w:w="839"/>
        <w:gridCol w:w="718"/>
        <w:gridCol w:w="872"/>
        <w:gridCol w:w="718"/>
        <w:gridCol w:w="18"/>
        <w:gridCol w:w="1903"/>
        <w:gridCol w:w="15"/>
      </w:tblGrid>
      <w:tr w:rsidR="008E1290" w:rsidRPr="00F21593" w:rsidTr="00CC5719">
        <w:trPr>
          <w:trHeight w:val="388"/>
          <w:tblHeader/>
        </w:trPr>
        <w:tc>
          <w:tcPr>
            <w:tcW w:w="1276"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Завдання, КТКВК</w:t>
            </w:r>
          </w:p>
        </w:tc>
        <w:tc>
          <w:tcPr>
            <w:tcW w:w="521"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Джерела фінансування</w:t>
            </w:r>
          </w:p>
        </w:tc>
        <w:tc>
          <w:tcPr>
            <w:tcW w:w="2554" w:type="pct"/>
            <w:gridSpan w:val="10"/>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Етапи виконання програми</w:t>
            </w:r>
          </w:p>
        </w:tc>
        <w:tc>
          <w:tcPr>
            <w:tcW w:w="649" w:type="pct"/>
            <w:gridSpan w:val="2"/>
            <w:vMerge w:val="restart"/>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Відповідальні</w:t>
            </w:r>
          </w:p>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виконавці</w:t>
            </w:r>
          </w:p>
        </w:tc>
      </w:tr>
      <w:tr w:rsidR="008E1290" w:rsidRPr="00F21593" w:rsidTr="00CC5719">
        <w:trPr>
          <w:trHeight w:val="267"/>
          <w:tblHeader/>
        </w:trPr>
        <w:tc>
          <w:tcPr>
            <w:tcW w:w="1276" w:type="pct"/>
            <w:vMerge/>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 етап</w:t>
            </w:r>
          </w:p>
        </w:tc>
        <w:tc>
          <w:tcPr>
            <w:tcW w:w="848"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 етап</w:t>
            </w:r>
          </w:p>
        </w:tc>
        <w:tc>
          <w:tcPr>
            <w:tcW w:w="787" w:type="pct"/>
            <w:gridSpan w:val="4"/>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ІІІ етап</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8E1290" w:rsidRPr="00F21593" w:rsidTr="00CC5719">
        <w:tblPrEx>
          <w:tblLook w:val="01E0" w:firstRow="1" w:lastRow="1" w:firstColumn="1" w:lastColumn="1" w:noHBand="0" w:noVBand="0"/>
        </w:tblPrEx>
        <w:trPr>
          <w:trHeight w:val="142"/>
          <w:tblHeader/>
        </w:trPr>
        <w:tc>
          <w:tcPr>
            <w:tcW w:w="1276" w:type="pct"/>
            <w:vMerge/>
            <w:vAlign w:val="center"/>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8E1290">
            <w:pPr>
              <w:jc w:val="center"/>
              <w:rPr>
                <w:rFonts w:cs="Times New Roman"/>
                <w:b/>
                <w:color w:val="000000" w:themeColor="text1"/>
                <w:sz w:val="22"/>
                <w:szCs w:val="22"/>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2</w:t>
            </w:r>
            <w:r w:rsidRPr="00F21593">
              <w:rPr>
                <w:rFonts w:cs="Times New Roman"/>
                <w:b/>
                <w:color w:val="000000" w:themeColor="text1"/>
                <w:sz w:val="22"/>
                <w:szCs w:val="22"/>
              </w:rPr>
              <w:t xml:space="preserve"> рік </w:t>
            </w:r>
            <w:r w:rsidRPr="00F21593">
              <w:rPr>
                <w:rFonts w:cs="Times New Roman"/>
                <w:b/>
                <w:bCs/>
                <w:color w:val="000000" w:themeColor="text1"/>
                <w:sz w:val="22"/>
                <w:szCs w:val="22"/>
              </w:rPr>
              <w:t>(план)</w:t>
            </w:r>
          </w:p>
        </w:tc>
        <w:tc>
          <w:tcPr>
            <w:tcW w:w="848" w:type="pct"/>
            <w:gridSpan w:val="3"/>
          </w:tcPr>
          <w:p w:rsidR="00E56D33" w:rsidRPr="00F21593" w:rsidRDefault="00E56D33" w:rsidP="008E1290">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3</w:t>
            </w:r>
            <w:r w:rsidRPr="00F21593">
              <w:rPr>
                <w:rFonts w:cs="Times New Roman"/>
                <w:b/>
                <w:color w:val="000000" w:themeColor="text1"/>
                <w:sz w:val="22"/>
                <w:szCs w:val="22"/>
              </w:rPr>
              <w:t xml:space="preserve"> рік </w:t>
            </w:r>
            <w:r w:rsidRPr="00F21593">
              <w:rPr>
                <w:rFonts w:cs="Times New Roman"/>
                <w:b/>
                <w:bCs/>
                <w:color w:val="000000" w:themeColor="text1"/>
                <w:sz w:val="22"/>
                <w:szCs w:val="22"/>
              </w:rPr>
              <w:t>(план)</w:t>
            </w:r>
          </w:p>
        </w:tc>
        <w:tc>
          <w:tcPr>
            <w:tcW w:w="787" w:type="pct"/>
            <w:gridSpan w:val="4"/>
          </w:tcPr>
          <w:p w:rsidR="00E56D33" w:rsidRPr="00F21593" w:rsidRDefault="00E56D33" w:rsidP="008E1290">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 xml:space="preserve">4 </w:t>
            </w:r>
            <w:r w:rsidRPr="00F21593">
              <w:rPr>
                <w:rFonts w:cs="Times New Roman"/>
                <w:b/>
                <w:color w:val="000000" w:themeColor="text1"/>
                <w:sz w:val="22"/>
                <w:szCs w:val="22"/>
              </w:rPr>
              <w:t xml:space="preserve">рік </w:t>
            </w:r>
            <w:r w:rsidRPr="00F21593">
              <w:rPr>
                <w:rFonts w:cs="Times New Roman"/>
                <w:b/>
                <w:bCs/>
                <w:color w:val="000000" w:themeColor="text1"/>
                <w:sz w:val="22"/>
                <w:szCs w:val="22"/>
              </w:rPr>
              <w:t>(прогноз)</w:t>
            </w:r>
          </w:p>
        </w:tc>
        <w:tc>
          <w:tcPr>
            <w:tcW w:w="649" w:type="pct"/>
            <w:gridSpan w:val="2"/>
            <w:vMerge/>
            <w:vAlign w:val="center"/>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trHeight w:val="1319"/>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607"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8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66"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43"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44" w:type="pct"/>
            <w:gridSpan w:val="3"/>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 Сумської міської ТГ</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hRule="exact" w:val="1057"/>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325"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8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84"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43"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95"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43"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31"/>
        </w:trPr>
        <w:tc>
          <w:tcPr>
            <w:tcW w:w="1276" w:type="pct"/>
          </w:tcPr>
          <w:p w:rsidR="00E56D33" w:rsidRPr="00F21593" w:rsidRDefault="00E56D33" w:rsidP="006706ED">
            <w:pPr>
              <w:rPr>
                <w:rFonts w:cs="Times New Roman"/>
                <w:b/>
                <w:color w:val="000000" w:themeColor="text1"/>
                <w:sz w:val="22"/>
                <w:szCs w:val="22"/>
              </w:rPr>
            </w:pPr>
            <w:r w:rsidRPr="00F21593">
              <w:rPr>
                <w:rFonts w:cs="Times New Roman"/>
                <w:b/>
                <w:color w:val="000000" w:themeColor="text1"/>
                <w:sz w:val="22"/>
                <w:szCs w:val="22"/>
              </w:rPr>
              <w:t>Всього на виконання програми</w:t>
            </w:r>
          </w:p>
        </w:tc>
        <w:tc>
          <w:tcPr>
            <w:tcW w:w="521" w:type="pc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E56D33" w:rsidRPr="00F21593" w:rsidRDefault="00ED0A56" w:rsidP="00F21593">
            <w:pPr>
              <w:ind w:hanging="39"/>
              <w:jc w:val="center"/>
              <w:rPr>
                <w:rFonts w:cs="Times New Roman"/>
                <w:b/>
                <w:color w:val="000000" w:themeColor="text1"/>
                <w:sz w:val="22"/>
                <w:szCs w:val="22"/>
                <w:lang w:val="ru-RU"/>
              </w:rPr>
            </w:pPr>
            <w:r w:rsidRPr="00F21593">
              <w:rPr>
                <w:rFonts w:cs="Times New Roman"/>
                <w:b/>
                <w:color w:val="000000" w:themeColor="text1"/>
                <w:sz w:val="22"/>
                <w:szCs w:val="22"/>
                <w:lang w:val="ru-RU"/>
              </w:rPr>
              <w:t>14</w:t>
            </w:r>
            <w:r w:rsidR="00F21593" w:rsidRPr="00F21593">
              <w:rPr>
                <w:rFonts w:cs="Times New Roman"/>
                <w:b/>
                <w:color w:val="000000" w:themeColor="text1"/>
                <w:sz w:val="22"/>
                <w:szCs w:val="22"/>
                <w:lang w:val="ru-RU"/>
              </w:rPr>
              <w:t>737,7</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3397,7</w:t>
            </w:r>
          </w:p>
        </w:tc>
        <w:tc>
          <w:tcPr>
            <w:tcW w:w="325" w:type="pct"/>
          </w:tcPr>
          <w:p w:rsidR="00E56D33" w:rsidRPr="00F21593" w:rsidRDefault="00ED0A56"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11340,0</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1177,5</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247,5</w:t>
            </w:r>
          </w:p>
        </w:tc>
        <w:tc>
          <w:tcPr>
            <w:tcW w:w="284" w:type="pct"/>
          </w:tcPr>
          <w:p w:rsidR="00E56D33" w:rsidRPr="00F21593" w:rsidRDefault="00CC5719"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930,0</w:t>
            </w:r>
          </w:p>
        </w:tc>
        <w:tc>
          <w:tcPr>
            <w:tcW w:w="243" w:type="pct"/>
          </w:tcPr>
          <w:p w:rsidR="00E56D33" w:rsidRPr="00F21593" w:rsidRDefault="00F21593" w:rsidP="00F21593">
            <w:pPr>
              <w:ind w:left="-153" w:right="-54"/>
              <w:jc w:val="center"/>
              <w:rPr>
                <w:rFonts w:cs="Times New Roman"/>
                <w:b/>
                <w:color w:val="000000" w:themeColor="text1"/>
                <w:sz w:val="22"/>
                <w:szCs w:val="22"/>
                <w:lang w:val="ru-RU"/>
              </w:rPr>
            </w:pPr>
            <w:r w:rsidRPr="00F21593">
              <w:rPr>
                <w:rFonts w:cs="Times New Roman"/>
                <w:b/>
                <w:color w:val="000000" w:themeColor="text1"/>
                <w:sz w:val="22"/>
                <w:szCs w:val="22"/>
                <w:lang w:val="ru-RU"/>
              </w:rPr>
              <w:t>1145</w:t>
            </w:r>
            <w:r w:rsidR="00E56D33" w:rsidRPr="00F21593">
              <w:rPr>
                <w:rFonts w:cs="Times New Roman"/>
                <w:b/>
                <w:color w:val="000000" w:themeColor="text1"/>
                <w:sz w:val="22"/>
                <w:szCs w:val="22"/>
                <w:lang w:val="ru-RU"/>
              </w:rPr>
              <w:t>,0</w:t>
            </w:r>
          </w:p>
        </w:tc>
        <w:tc>
          <w:tcPr>
            <w:tcW w:w="295"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215</w:t>
            </w:r>
            <w:r w:rsidR="00E56D33" w:rsidRPr="00F21593">
              <w:rPr>
                <w:rFonts w:cs="Times New Roman"/>
                <w:b/>
                <w:color w:val="000000" w:themeColor="text1"/>
                <w:sz w:val="22"/>
                <w:szCs w:val="22"/>
                <w:lang w:val="ru-RU"/>
              </w:rPr>
              <w:t>,0</w:t>
            </w:r>
          </w:p>
        </w:tc>
        <w:tc>
          <w:tcPr>
            <w:tcW w:w="243" w:type="pct"/>
          </w:tcPr>
          <w:p w:rsidR="00E56D33" w:rsidRPr="00F21593" w:rsidRDefault="00CC5719"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9</w:t>
            </w:r>
            <w:r w:rsidR="00E56D33" w:rsidRPr="00F21593">
              <w:rPr>
                <w:rFonts w:cs="Times New Roman"/>
                <w:b/>
                <w:color w:val="000000" w:themeColor="text1"/>
                <w:sz w:val="22"/>
                <w:szCs w:val="22"/>
                <w:lang w:val="ru-RU"/>
              </w:rPr>
              <w:t>30,0</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F03AEC" w:rsidRPr="00F21593" w:rsidTr="00CC5719">
        <w:tblPrEx>
          <w:tblLook w:val="01E0" w:firstRow="1" w:lastRow="1" w:firstColumn="1" w:lastColumn="1" w:noHBand="0" w:noVBand="0"/>
        </w:tblPrEx>
        <w:trPr>
          <w:trHeight w:val="547"/>
        </w:trPr>
        <w:tc>
          <w:tcPr>
            <w:tcW w:w="5000" w:type="pct"/>
            <w:gridSpan w:val="14"/>
          </w:tcPr>
          <w:p w:rsidR="00E56D33" w:rsidRPr="00F21593" w:rsidRDefault="00E56D33" w:rsidP="006706ED">
            <w:pPr>
              <w:jc w:val="both"/>
              <w:rPr>
                <w:rFonts w:cs="Times New Roman"/>
                <w:color w:val="000000" w:themeColor="text1"/>
                <w:sz w:val="22"/>
                <w:szCs w:val="22"/>
              </w:rPr>
            </w:pPr>
            <w:r w:rsidRPr="00F21593">
              <w:rPr>
                <w:rFonts w:cs="Times New Roman"/>
                <w:b/>
                <w:color w:val="000000" w:themeColor="text1"/>
                <w:sz w:val="22"/>
                <w:szCs w:val="22"/>
              </w:rPr>
              <w:t xml:space="preserve">Підпрограма 1 Організація робіт із розроблення </w:t>
            </w:r>
            <w:r w:rsidR="00AD6A7A" w:rsidRPr="00F21593">
              <w:rPr>
                <w:rFonts w:cs="Times New Roman"/>
                <w:b/>
                <w:color w:val="000000" w:themeColor="text1"/>
                <w:sz w:val="22"/>
                <w:szCs w:val="22"/>
              </w:rPr>
              <w:t xml:space="preserve">та оновлення </w:t>
            </w:r>
            <w:r w:rsidRPr="00F21593">
              <w:rPr>
                <w:rFonts w:cs="Times New Roman"/>
                <w:b/>
                <w:color w:val="000000" w:themeColor="text1"/>
                <w:sz w:val="22"/>
                <w:szCs w:val="22"/>
              </w:rPr>
              <w:t xml:space="preserve">містобудівної документації місцевого рівня </w:t>
            </w:r>
            <w:r w:rsidRPr="00F21593">
              <w:rPr>
                <w:rFonts w:cs="Times New Roman"/>
                <w:b/>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w:t>
            </w:r>
          </w:p>
          <w:p w:rsidR="00E56D33" w:rsidRPr="00F21593" w:rsidRDefault="00E56D33" w:rsidP="006706ED">
            <w:pPr>
              <w:jc w:val="both"/>
              <w:rPr>
                <w:rFonts w:cs="Times New Roman"/>
                <w:b/>
                <w:color w:val="000000" w:themeColor="text1"/>
                <w:sz w:val="22"/>
                <w:szCs w:val="22"/>
              </w:rPr>
            </w:pPr>
            <w:r w:rsidRPr="00F21593">
              <w:rPr>
                <w:rFonts w:cs="Times New Roman"/>
                <w:color w:val="000000" w:themeColor="text1"/>
                <w:sz w:val="22"/>
                <w:szCs w:val="22"/>
              </w:rPr>
              <w:t xml:space="preserve">Мета: Забезпечення </w:t>
            </w:r>
            <w:r w:rsidRPr="00F21593">
              <w:rPr>
                <w:rFonts w:cs="Times New Roman"/>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оновленою містобудівною документацією.</w:t>
            </w:r>
          </w:p>
        </w:tc>
      </w:tr>
      <w:tr w:rsidR="00CC5719" w:rsidRPr="00F21593" w:rsidTr="00626B73">
        <w:tblPrEx>
          <w:tblLook w:val="01E0" w:firstRow="1" w:lastRow="1" w:firstColumn="1" w:lastColumn="1" w:noHBand="0" w:noVBand="0"/>
        </w:tblPrEx>
        <w:trPr>
          <w:gridAfter w:val="1"/>
          <w:wAfter w:w="5" w:type="pct"/>
          <w:trHeight w:val="577"/>
        </w:trPr>
        <w:tc>
          <w:tcPr>
            <w:tcW w:w="1276" w:type="pct"/>
          </w:tcPr>
          <w:p w:rsidR="00CC5719" w:rsidRPr="00F21593" w:rsidRDefault="00CC5719" w:rsidP="00CC5719">
            <w:pPr>
              <w:rPr>
                <w:rFonts w:cs="Times New Roman"/>
                <w:b/>
                <w:color w:val="000000" w:themeColor="text1"/>
                <w:sz w:val="22"/>
                <w:szCs w:val="22"/>
              </w:rPr>
            </w:pPr>
            <w:r w:rsidRPr="00F21593">
              <w:rPr>
                <w:rFonts w:cs="Times New Roman"/>
                <w:b/>
                <w:color w:val="000000" w:themeColor="text1"/>
                <w:sz w:val="22"/>
                <w:szCs w:val="22"/>
              </w:rPr>
              <w:t>Всього на виконання підпрограми 1</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CC5719" w:rsidRPr="00F21593" w:rsidRDefault="00CC5719" w:rsidP="00CC5719">
            <w:pPr>
              <w:ind w:left="-39"/>
              <w:jc w:val="center"/>
              <w:rPr>
                <w:rFonts w:cs="Times New Roman"/>
                <w:b/>
                <w:color w:val="000000" w:themeColor="text1"/>
                <w:sz w:val="22"/>
                <w:szCs w:val="22"/>
                <w:lang w:val="ru-RU"/>
              </w:rPr>
            </w:pPr>
            <w:r w:rsidRPr="00F21593">
              <w:rPr>
                <w:rFonts w:cs="Times New Roman"/>
                <w:b/>
                <w:color w:val="000000" w:themeColor="text1"/>
                <w:sz w:val="22"/>
                <w:szCs w:val="22"/>
                <w:lang w:val="ru-RU"/>
              </w:rPr>
              <w:t>13810,2</w:t>
            </w:r>
          </w:p>
        </w:tc>
        <w:tc>
          <w:tcPr>
            <w:tcW w:w="282" w:type="pct"/>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3150,2</w:t>
            </w:r>
          </w:p>
        </w:tc>
        <w:tc>
          <w:tcPr>
            <w:tcW w:w="325" w:type="pct"/>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10660,0</w:t>
            </w:r>
          </w:p>
        </w:tc>
        <w:tc>
          <w:tcPr>
            <w:tcW w:w="282"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82"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lang w:val="ru-RU"/>
              </w:rPr>
              <w:t>0</w:t>
            </w:r>
            <w:r w:rsidRPr="00F21593">
              <w:rPr>
                <w:rFonts w:cs="Times New Roman"/>
                <w:b/>
                <w:color w:val="000000" w:themeColor="text1"/>
                <w:sz w:val="22"/>
                <w:szCs w:val="22"/>
              </w:rPr>
              <w:t>,0</w:t>
            </w:r>
          </w:p>
        </w:tc>
        <w:tc>
          <w:tcPr>
            <w:tcW w:w="284"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95"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lang w:val="ru-RU"/>
              </w:rPr>
              <w:t>0</w:t>
            </w:r>
            <w:r w:rsidRPr="00F21593">
              <w:rPr>
                <w:rFonts w:cs="Times New Roman"/>
                <w:b/>
                <w:color w:val="000000" w:themeColor="text1"/>
                <w:sz w:val="22"/>
                <w:szCs w:val="22"/>
              </w:rPr>
              <w:t>,0</w:t>
            </w: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236"/>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1.1. Містобудівний моніторинг реалізації положень генерального плану м. Суми</w:t>
            </w:r>
          </w:p>
        </w:tc>
        <w:tc>
          <w:tcPr>
            <w:tcW w:w="521" w:type="pct"/>
          </w:tcPr>
          <w:p w:rsidR="00CC5719" w:rsidRPr="00F21593" w:rsidRDefault="00CC5719" w:rsidP="00CC5719">
            <w:pPr>
              <w:jc w:val="both"/>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4"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295"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233"/>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1.2. Аналіз наявної містобудівної документації приєднаних до Сумської міської територіальної громади населених пунктів </w:t>
            </w:r>
          </w:p>
        </w:tc>
        <w:tc>
          <w:tcPr>
            <w:tcW w:w="521" w:type="pct"/>
          </w:tcPr>
          <w:p w:rsidR="00CC5719" w:rsidRPr="00F21593" w:rsidRDefault="00CC5719" w:rsidP="00CC5719">
            <w:pPr>
              <w:jc w:val="center"/>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lastRenderedPageBreak/>
              <w:t>Завдання 1.3. Коригування історико-архітектурного опорного плану м. Суми з визначенням меж і режимів використання зон охорони пам’яток та історичних ареалів</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1850,0</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1850,0</w:t>
            </w:r>
          </w:p>
        </w:tc>
        <w:tc>
          <w:tcPr>
            <w:tcW w:w="325" w:type="pct"/>
            <w:vAlign w:val="center"/>
          </w:tcPr>
          <w:p w:rsidR="00CC5719" w:rsidRPr="00F21593" w:rsidRDefault="00CC5719" w:rsidP="00CC5719">
            <w:pPr>
              <w:jc w:val="center"/>
              <w:rPr>
                <w:rFonts w:cs="Times New Roman"/>
                <w:b/>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lang w:val="ru-RU"/>
              </w:rPr>
            </w:pPr>
          </w:p>
        </w:tc>
        <w:tc>
          <w:tcPr>
            <w:tcW w:w="243" w:type="pct"/>
            <w:vAlign w:val="center"/>
          </w:tcPr>
          <w:p w:rsidR="00CC5719" w:rsidRPr="00F21593" w:rsidRDefault="00CC5719" w:rsidP="00CC5719">
            <w:pPr>
              <w:jc w:val="center"/>
              <w:rPr>
                <w:rFonts w:cs="Times New Roman"/>
                <w:color w:val="000000" w:themeColor="text1"/>
                <w:sz w:val="22"/>
                <w:szCs w:val="22"/>
                <w:lang w:val="ru-RU"/>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w:t>
            </w:r>
            <w:r w:rsidRPr="00F21593">
              <w:rPr>
                <w:rFonts w:cs="Times New Roman"/>
                <w:color w:val="000000" w:themeColor="text1"/>
                <w:sz w:val="22"/>
                <w:szCs w:val="22"/>
                <w:lang w:val="ru-RU"/>
              </w:rPr>
              <w:t>4</w:t>
            </w:r>
            <w:r w:rsidRPr="00F21593">
              <w:rPr>
                <w:rFonts w:cs="Times New Roman"/>
                <w:color w:val="000000" w:themeColor="text1"/>
                <w:sz w:val="22"/>
                <w:szCs w:val="22"/>
              </w:rPr>
              <w:t>. Внесення змін до генерального плану м. Суми</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lang w:val="ru-RU"/>
              </w:rPr>
              <w:t>5810</w:t>
            </w:r>
            <w:r w:rsidRPr="00F21593">
              <w:rPr>
                <w:rFonts w:cs="Times New Roman"/>
                <w:color w:val="000000" w:themeColor="text1"/>
                <w:sz w:val="22"/>
                <w:szCs w:val="22"/>
              </w:rPr>
              <w:t>,0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lang w:val="ru-RU"/>
              </w:rPr>
              <w:t>5810</w:t>
            </w:r>
            <w:r w:rsidRPr="00F21593">
              <w:rPr>
                <w:rFonts w:cs="Times New Roman"/>
                <w:color w:val="000000" w:themeColor="text1"/>
                <w:sz w:val="22"/>
                <w:szCs w:val="22"/>
              </w:rPr>
              <w:t>,0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highlight w:val="yellow"/>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1.5. </w:t>
            </w:r>
            <w:r w:rsidRPr="00F21593">
              <w:rPr>
                <w:color w:val="000000" w:themeColor="text1"/>
                <w:sz w:val="22"/>
                <w:szCs w:val="22"/>
              </w:rPr>
              <w:t xml:space="preserve"> 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 (347,80 кв км)</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1300,2</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1300,2</w:t>
            </w: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lang w:val="ru-RU"/>
              </w:rPr>
            </w:pP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lang w:val="ru-RU"/>
              </w:rPr>
            </w:pPr>
          </w:p>
        </w:tc>
        <w:tc>
          <w:tcPr>
            <w:tcW w:w="243" w:type="pct"/>
          </w:tcPr>
          <w:p w:rsidR="00CC5719" w:rsidRPr="00F21593" w:rsidRDefault="00CC5719" w:rsidP="00CC5719">
            <w:pPr>
              <w:jc w:val="center"/>
              <w:rPr>
                <w:rFonts w:cs="Times New Roman"/>
                <w:color w:val="000000" w:themeColor="text1"/>
                <w:sz w:val="22"/>
                <w:szCs w:val="22"/>
                <w:lang w:val="ru-RU"/>
              </w:rPr>
            </w:pP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1.6. </w:t>
            </w:r>
            <w:r w:rsidRPr="00F21593">
              <w:rPr>
                <w:color w:val="000000" w:themeColor="text1"/>
                <w:sz w:val="22"/>
                <w:szCs w:val="22"/>
              </w:rPr>
              <w:t>Розробка комплексного плану просторового розвитку території Сумської міської територіальної громади (347,80 кв км)</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p w:rsidR="00CC5719" w:rsidRPr="00F21593" w:rsidRDefault="00CC5719" w:rsidP="00CC5719">
            <w:pPr>
              <w:jc w:val="center"/>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4600,0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4600,0</w:t>
            </w:r>
          </w:p>
        </w:tc>
        <w:tc>
          <w:tcPr>
            <w:tcW w:w="282" w:type="pct"/>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w:t>
            </w:r>
            <w:r w:rsidRPr="00F21593">
              <w:rPr>
                <w:rFonts w:cs="Times New Roman"/>
                <w:color w:val="000000" w:themeColor="text1"/>
                <w:sz w:val="22"/>
                <w:szCs w:val="22"/>
                <w:lang w:val="ru-RU"/>
              </w:rPr>
              <w:t>7</w:t>
            </w:r>
            <w:r w:rsidRPr="00F21593">
              <w:rPr>
                <w:rFonts w:cs="Times New Roman"/>
                <w:color w:val="000000" w:themeColor="text1"/>
                <w:sz w:val="22"/>
                <w:szCs w:val="22"/>
              </w:rPr>
              <w:t>. Проведення архітектурних та містобудівних конкурсів</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43"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CC5719">
        <w:tblPrEx>
          <w:tblLook w:val="01E0" w:firstRow="1" w:lastRow="1" w:firstColumn="1" w:lastColumn="1" w:noHBand="0" w:noVBand="0"/>
        </w:tblPrEx>
        <w:trPr>
          <w:trHeight w:val="559"/>
        </w:trPr>
        <w:tc>
          <w:tcPr>
            <w:tcW w:w="5000" w:type="pct"/>
            <w:gridSpan w:val="14"/>
          </w:tcPr>
          <w:p w:rsidR="00CC5719" w:rsidRPr="00F21593" w:rsidRDefault="00CC5719" w:rsidP="00CC5719">
            <w:pPr>
              <w:jc w:val="both"/>
              <w:rPr>
                <w:rFonts w:cs="Times New Roman"/>
                <w:b/>
                <w:bCs/>
                <w:color w:val="000000" w:themeColor="text1"/>
                <w:sz w:val="22"/>
                <w:szCs w:val="22"/>
                <w:shd w:val="clear" w:color="auto" w:fill="FFFFFF"/>
                <w:lang w:val="ru-RU"/>
              </w:rPr>
            </w:pPr>
            <w:r w:rsidRPr="00F21593">
              <w:rPr>
                <w:rFonts w:cs="Times New Roman"/>
                <w:b/>
                <w:color w:val="000000" w:themeColor="text1"/>
                <w:sz w:val="22"/>
                <w:szCs w:val="22"/>
              </w:rPr>
              <w:t xml:space="preserve">Підпрограма </w:t>
            </w:r>
            <w:r w:rsidRPr="00F21593">
              <w:rPr>
                <w:rFonts w:cs="Times New Roman"/>
                <w:b/>
                <w:color w:val="000000" w:themeColor="text1"/>
                <w:sz w:val="22"/>
                <w:szCs w:val="22"/>
                <w:lang w:val="ru-RU"/>
              </w:rPr>
              <w:t xml:space="preserve">2 </w:t>
            </w:r>
            <w:r w:rsidRPr="00F21593">
              <w:rPr>
                <w:rFonts w:cs="Times New Roman"/>
                <w:b/>
                <w:bCs/>
                <w:color w:val="000000" w:themeColor="text1"/>
                <w:sz w:val="22"/>
                <w:szCs w:val="22"/>
                <w:shd w:val="clear" w:color="auto" w:fill="FFFFFF"/>
              </w:rPr>
              <w:t>Удосконалення діяльності Служби містобудівного кадастру</w:t>
            </w:r>
          </w:p>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 xml:space="preserve">Мета: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ТГ. </w:t>
            </w:r>
          </w:p>
        </w:tc>
      </w:tr>
      <w:tr w:rsidR="00CC5719" w:rsidRPr="00F21593" w:rsidTr="00626B73">
        <w:tblPrEx>
          <w:tblLook w:val="01E0" w:firstRow="1" w:lastRow="1" w:firstColumn="1" w:lastColumn="1" w:noHBand="0" w:noVBand="0"/>
        </w:tblPrEx>
        <w:trPr>
          <w:gridAfter w:val="1"/>
          <w:wAfter w:w="5" w:type="pct"/>
          <w:trHeight w:val="367"/>
        </w:trPr>
        <w:tc>
          <w:tcPr>
            <w:tcW w:w="1276" w:type="pct"/>
          </w:tcPr>
          <w:p w:rsidR="00CC5719" w:rsidRPr="00F21593" w:rsidRDefault="00CC5719" w:rsidP="00CC5719">
            <w:pPr>
              <w:rPr>
                <w:rFonts w:cs="Times New Roman"/>
                <w:b/>
                <w:color w:val="000000" w:themeColor="text1"/>
                <w:sz w:val="22"/>
                <w:szCs w:val="22"/>
                <w:lang w:val="ru-RU"/>
              </w:rPr>
            </w:pPr>
            <w:r w:rsidRPr="00F21593">
              <w:rPr>
                <w:rFonts w:cs="Times New Roman"/>
                <w:b/>
                <w:color w:val="000000" w:themeColor="text1"/>
                <w:sz w:val="22"/>
                <w:szCs w:val="22"/>
              </w:rPr>
              <w:lastRenderedPageBreak/>
              <w:t>Всього на виконання підпрограми</w:t>
            </w:r>
            <w:r w:rsidRPr="00F21593">
              <w:rPr>
                <w:rFonts w:cs="Times New Roman"/>
                <w:b/>
                <w:color w:val="000000" w:themeColor="text1"/>
                <w:sz w:val="22"/>
                <w:szCs w:val="22"/>
                <w:lang w:val="ru-RU"/>
              </w:rPr>
              <w:t xml:space="preserve"> 2</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325"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84"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43"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95"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43"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shd w:val="clear" w:color="auto" w:fill="FFFFFF"/>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1</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веб-геопорталу містобудівного кадастру</w:t>
            </w:r>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rPr>
              <w:t>Підтримка роботи геоінформаційної системи</w:t>
            </w:r>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rPr>
            </w:pPr>
            <w:r w:rsidRPr="00F21593">
              <w:rPr>
                <w:rFonts w:cs="Times New Roman"/>
                <w:color w:val="000000" w:themeColor="text1"/>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F21593">
              <w:rPr>
                <w:rFonts w:cs="Times New Roman"/>
                <w:color w:val="000000" w:themeColor="text1"/>
                <w:sz w:val="22"/>
                <w:szCs w:val="22"/>
              </w:rPr>
              <w:t>ArcGIS</w:t>
            </w:r>
            <w:proofErr w:type="spellEnd"/>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626B73" w:rsidRPr="00F21593" w:rsidTr="00626B73">
        <w:tblPrEx>
          <w:tblLook w:val="01E0" w:firstRow="1" w:lastRow="1" w:firstColumn="1" w:lastColumn="1" w:noHBand="0" w:noVBand="0"/>
        </w:tblPrEx>
        <w:trPr>
          <w:gridAfter w:val="1"/>
          <w:wAfter w:w="5" w:type="pct"/>
          <w:trHeight w:val="559"/>
        </w:trPr>
        <w:tc>
          <w:tcPr>
            <w:tcW w:w="4995" w:type="pct"/>
            <w:gridSpan w:val="13"/>
          </w:tcPr>
          <w:p w:rsidR="00626B73" w:rsidRPr="00F21593" w:rsidRDefault="00626B73" w:rsidP="00626B73">
            <w:pPr>
              <w:jc w:val="both"/>
              <w:rPr>
                <w:b/>
                <w:bCs/>
                <w:color w:val="000000"/>
                <w:sz w:val="22"/>
                <w:szCs w:val="22"/>
              </w:rPr>
            </w:pPr>
            <w:r w:rsidRPr="00F21593">
              <w:rPr>
                <w:b/>
                <w:color w:val="000000"/>
                <w:sz w:val="22"/>
                <w:szCs w:val="22"/>
              </w:rPr>
              <w:t xml:space="preserve">Підпрограма 3 </w:t>
            </w:r>
            <w:r w:rsidRPr="00F21593">
              <w:rPr>
                <w:b/>
                <w:bCs/>
                <w:color w:val="000000"/>
                <w:sz w:val="22"/>
                <w:szCs w:val="22"/>
                <w:shd w:val="clear" w:color="auto" w:fill="FFFFFF"/>
              </w:rPr>
              <w:t>Інвентаризація та виготовлення облікової документації та пам'ятки архітектури та містобудування м. Суми</w:t>
            </w:r>
          </w:p>
          <w:p w:rsidR="00626B73" w:rsidRPr="00F21593" w:rsidRDefault="00626B73" w:rsidP="00626B73">
            <w:pPr>
              <w:jc w:val="both"/>
              <w:rPr>
                <w:rFonts w:cs="Times New Roman"/>
                <w:color w:val="000000" w:themeColor="text1"/>
                <w:sz w:val="22"/>
                <w:szCs w:val="22"/>
              </w:rPr>
            </w:pPr>
            <w:r w:rsidRPr="00F21593">
              <w:rPr>
                <w:color w:val="000000"/>
                <w:sz w:val="22"/>
                <w:szCs w:val="22"/>
              </w:rPr>
              <w:t>Мета: 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 організації їх охорони та реставрації.</w:t>
            </w:r>
          </w:p>
        </w:tc>
      </w:tr>
      <w:tr w:rsidR="00F21593" w:rsidRPr="00F21593" w:rsidTr="004A0DF8">
        <w:tblPrEx>
          <w:tblLook w:val="01E0" w:firstRow="1" w:lastRow="1" w:firstColumn="1" w:lastColumn="1" w:noHBand="0" w:noVBand="0"/>
        </w:tblPrEx>
        <w:trPr>
          <w:gridAfter w:val="1"/>
          <w:wAfter w:w="5" w:type="pct"/>
          <w:trHeight w:val="559"/>
        </w:trPr>
        <w:tc>
          <w:tcPr>
            <w:tcW w:w="1276" w:type="pct"/>
          </w:tcPr>
          <w:p w:rsidR="00F21593" w:rsidRPr="00F21593" w:rsidRDefault="00F21593" w:rsidP="00F21593">
            <w:pPr>
              <w:rPr>
                <w:b/>
                <w:color w:val="000000"/>
                <w:sz w:val="22"/>
                <w:szCs w:val="22"/>
                <w:lang w:val="ru-RU"/>
              </w:rPr>
            </w:pPr>
            <w:r w:rsidRPr="00F21593">
              <w:rPr>
                <w:b/>
                <w:color w:val="000000"/>
                <w:sz w:val="22"/>
                <w:szCs w:val="22"/>
              </w:rPr>
              <w:t>Всього на виконання підпрограми)</w:t>
            </w:r>
            <w:r w:rsidRPr="00F21593">
              <w:rPr>
                <w:b/>
                <w:color w:val="000000"/>
                <w:sz w:val="22"/>
                <w:szCs w:val="22"/>
                <w:lang w:val="ru-RU"/>
              </w:rPr>
              <w:t xml:space="preserve"> 3</w:t>
            </w:r>
          </w:p>
        </w:tc>
        <w:tc>
          <w:tcPr>
            <w:tcW w:w="521" w:type="pct"/>
          </w:tcPr>
          <w:p w:rsidR="00F21593" w:rsidRPr="00F21593" w:rsidRDefault="00F21593" w:rsidP="00F21593">
            <w:pPr>
              <w:jc w:val="center"/>
              <w:rPr>
                <w:b/>
                <w:color w:val="000000"/>
                <w:sz w:val="22"/>
                <w:szCs w:val="22"/>
              </w:rPr>
            </w:pPr>
            <w:r w:rsidRPr="00F21593">
              <w:rPr>
                <w:b/>
                <w:color w:val="000000"/>
                <w:sz w:val="22"/>
                <w:szCs w:val="22"/>
              </w:rPr>
              <w:t>бюджет Сумської міської ТГ</w:t>
            </w:r>
          </w:p>
        </w:tc>
        <w:tc>
          <w:tcPr>
            <w:tcW w:w="31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325" w:type="pct"/>
            <w:vAlign w:val="center"/>
          </w:tcPr>
          <w:p w:rsidR="00F21593" w:rsidRPr="00F21593" w:rsidRDefault="00F21593" w:rsidP="00F21593">
            <w:pPr>
              <w:jc w:val="center"/>
              <w:rPr>
                <w:b/>
                <w:color w:val="000000"/>
                <w:sz w:val="22"/>
                <w:szCs w:val="22"/>
                <w:lang w:val="ru-RU"/>
              </w:rPr>
            </w:pP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4" w:type="pct"/>
            <w:vAlign w:val="center"/>
          </w:tcPr>
          <w:p w:rsidR="00F21593" w:rsidRPr="00F21593" w:rsidRDefault="00F21593" w:rsidP="00F21593">
            <w:pPr>
              <w:jc w:val="center"/>
              <w:rPr>
                <w:b/>
                <w:color w:val="000000"/>
                <w:sz w:val="22"/>
                <w:szCs w:val="22"/>
                <w:lang w:val="ru-RU"/>
              </w:rPr>
            </w:pPr>
          </w:p>
        </w:tc>
        <w:tc>
          <w:tcPr>
            <w:tcW w:w="243" w:type="pct"/>
            <w:vAlign w:val="center"/>
          </w:tcPr>
          <w:p w:rsidR="00F21593" w:rsidRPr="00F21593" w:rsidRDefault="00F21593" w:rsidP="00F21593">
            <w:pPr>
              <w:jc w:val="center"/>
              <w:rPr>
                <w:b/>
                <w:color w:val="000000"/>
                <w:sz w:val="22"/>
                <w:szCs w:val="22"/>
              </w:rPr>
            </w:pPr>
            <w:r w:rsidRPr="00F21593">
              <w:rPr>
                <w:b/>
                <w:color w:val="000000"/>
                <w:sz w:val="22"/>
                <w:szCs w:val="22"/>
              </w:rPr>
              <w:t>215,0</w:t>
            </w:r>
          </w:p>
        </w:tc>
        <w:tc>
          <w:tcPr>
            <w:tcW w:w="295" w:type="pct"/>
            <w:vAlign w:val="center"/>
          </w:tcPr>
          <w:p w:rsidR="00F21593" w:rsidRPr="00F21593" w:rsidRDefault="00F21593" w:rsidP="00F21593">
            <w:pPr>
              <w:jc w:val="center"/>
              <w:rPr>
                <w:b/>
                <w:color w:val="000000"/>
                <w:sz w:val="22"/>
                <w:szCs w:val="22"/>
              </w:rPr>
            </w:pPr>
            <w:r w:rsidRPr="00F21593">
              <w:rPr>
                <w:b/>
                <w:color w:val="000000"/>
                <w:sz w:val="22"/>
                <w:szCs w:val="22"/>
              </w:rPr>
              <w:t>215,0</w:t>
            </w:r>
          </w:p>
        </w:tc>
        <w:tc>
          <w:tcPr>
            <w:tcW w:w="243" w:type="pct"/>
            <w:vAlign w:val="center"/>
          </w:tcPr>
          <w:p w:rsidR="00F21593" w:rsidRPr="00F21593" w:rsidRDefault="00F21593" w:rsidP="00F21593">
            <w:pPr>
              <w:jc w:val="center"/>
              <w:rPr>
                <w:b/>
                <w:color w:val="000000"/>
                <w:sz w:val="22"/>
                <w:szCs w:val="22"/>
              </w:rPr>
            </w:pPr>
          </w:p>
        </w:tc>
        <w:tc>
          <w:tcPr>
            <w:tcW w:w="650" w:type="pct"/>
            <w:gridSpan w:val="2"/>
          </w:tcPr>
          <w:p w:rsidR="00F21593" w:rsidRPr="00F21593" w:rsidRDefault="00F21593" w:rsidP="00F21593">
            <w:pPr>
              <w:jc w:val="both"/>
              <w:rPr>
                <w:b/>
                <w:color w:val="000000"/>
                <w:sz w:val="22"/>
                <w:szCs w:val="22"/>
              </w:rPr>
            </w:pPr>
          </w:p>
        </w:tc>
      </w:tr>
      <w:tr w:rsidR="00F21593" w:rsidRPr="00F21593" w:rsidTr="004A0DF8">
        <w:tblPrEx>
          <w:tblLook w:val="01E0" w:firstRow="1" w:lastRow="1" w:firstColumn="1" w:lastColumn="1" w:noHBand="0" w:noVBand="0"/>
        </w:tblPrEx>
        <w:trPr>
          <w:gridAfter w:val="1"/>
          <w:wAfter w:w="5" w:type="pct"/>
          <w:trHeight w:val="559"/>
        </w:trPr>
        <w:tc>
          <w:tcPr>
            <w:tcW w:w="1276" w:type="pct"/>
          </w:tcPr>
          <w:p w:rsidR="00F21593" w:rsidRPr="00F21593" w:rsidRDefault="00F21593" w:rsidP="00F21593">
            <w:pPr>
              <w:jc w:val="both"/>
              <w:rPr>
                <w:color w:val="000000"/>
                <w:sz w:val="22"/>
                <w:szCs w:val="22"/>
                <w:lang w:val="ru-RU"/>
              </w:rPr>
            </w:pPr>
            <w:r w:rsidRPr="00F21593">
              <w:rPr>
                <w:color w:val="000000"/>
                <w:sz w:val="22"/>
                <w:szCs w:val="22"/>
              </w:rPr>
              <w:t>Завдання 3.1. Проведення інвентаризації та виготовлення облікової документації на пам'ятки архітектури м. Суми за єдиною встановленою формою (54 об'єкта)</w:t>
            </w:r>
          </w:p>
        </w:tc>
        <w:tc>
          <w:tcPr>
            <w:tcW w:w="521" w:type="pct"/>
          </w:tcPr>
          <w:p w:rsidR="00F21593" w:rsidRPr="00F21593" w:rsidRDefault="00F21593" w:rsidP="00F21593">
            <w:pPr>
              <w:jc w:val="center"/>
              <w:rPr>
                <w:color w:val="000000"/>
                <w:sz w:val="22"/>
                <w:szCs w:val="22"/>
              </w:rPr>
            </w:pPr>
            <w:r w:rsidRPr="00F21593">
              <w:rPr>
                <w:color w:val="000000"/>
                <w:sz w:val="22"/>
                <w:szCs w:val="22"/>
              </w:rPr>
              <w:t>бюджет Сумської міської ТГ</w:t>
            </w:r>
          </w:p>
        </w:tc>
        <w:tc>
          <w:tcPr>
            <w:tcW w:w="31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325" w:type="pct"/>
            <w:vAlign w:val="center"/>
          </w:tcPr>
          <w:p w:rsidR="00F21593" w:rsidRPr="00F21593" w:rsidRDefault="00F21593" w:rsidP="00F21593">
            <w:pPr>
              <w:jc w:val="center"/>
              <w:rPr>
                <w:color w:val="000000"/>
                <w:sz w:val="22"/>
                <w:szCs w:val="22"/>
                <w:lang w:val="ru-RU"/>
              </w:rPr>
            </w:pP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4" w:type="pct"/>
            <w:vAlign w:val="center"/>
          </w:tcPr>
          <w:p w:rsidR="00F21593" w:rsidRPr="00F21593" w:rsidRDefault="00F21593" w:rsidP="00F21593">
            <w:pPr>
              <w:jc w:val="center"/>
              <w:rPr>
                <w:color w:val="000000"/>
                <w:sz w:val="22"/>
                <w:szCs w:val="22"/>
                <w:lang w:val="ru-RU"/>
              </w:rPr>
            </w:pPr>
          </w:p>
        </w:tc>
        <w:tc>
          <w:tcPr>
            <w:tcW w:w="243" w:type="pct"/>
            <w:vAlign w:val="center"/>
          </w:tcPr>
          <w:p w:rsidR="00F21593" w:rsidRPr="00F21593" w:rsidRDefault="00F21593" w:rsidP="00F21593">
            <w:pPr>
              <w:jc w:val="center"/>
              <w:rPr>
                <w:color w:val="000000"/>
                <w:sz w:val="22"/>
                <w:szCs w:val="22"/>
              </w:rPr>
            </w:pPr>
            <w:r w:rsidRPr="00F21593">
              <w:rPr>
                <w:color w:val="000000"/>
                <w:sz w:val="22"/>
                <w:szCs w:val="22"/>
              </w:rPr>
              <w:t>215,0</w:t>
            </w:r>
          </w:p>
        </w:tc>
        <w:tc>
          <w:tcPr>
            <w:tcW w:w="295" w:type="pct"/>
            <w:vAlign w:val="center"/>
          </w:tcPr>
          <w:p w:rsidR="00F21593" w:rsidRPr="00F21593" w:rsidRDefault="00F21593" w:rsidP="00F21593">
            <w:pPr>
              <w:jc w:val="center"/>
              <w:rPr>
                <w:color w:val="000000"/>
                <w:sz w:val="22"/>
                <w:szCs w:val="22"/>
              </w:rPr>
            </w:pPr>
            <w:r w:rsidRPr="00F21593">
              <w:rPr>
                <w:color w:val="000000"/>
                <w:sz w:val="22"/>
                <w:szCs w:val="22"/>
              </w:rPr>
              <w:t>215,0</w:t>
            </w:r>
          </w:p>
        </w:tc>
        <w:tc>
          <w:tcPr>
            <w:tcW w:w="243" w:type="pct"/>
            <w:vAlign w:val="center"/>
          </w:tcPr>
          <w:p w:rsidR="00F21593" w:rsidRPr="00F21593" w:rsidRDefault="00F21593" w:rsidP="00F21593">
            <w:pPr>
              <w:jc w:val="center"/>
              <w:rPr>
                <w:color w:val="000000"/>
                <w:sz w:val="22"/>
                <w:szCs w:val="22"/>
              </w:rPr>
            </w:pPr>
          </w:p>
        </w:tc>
        <w:tc>
          <w:tcPr>
            <w:tcW w:w="650" w:type="pct"/>
            <w:gridSpan w:val="2"/>
          </w:tcPr>
          <w:p w:rsidR="00F21593" w:rsidRPr="00F21593" w:rsidRDefault="00F21593" w:rsidP="00F21593">
            <w:pPr>
              <w:jc w:val="both"/>
              <w:rPr>
                <w:b/>
                <w:color w:val="000000"/>
                <w:sz w:val="22"/>
                <w:szCs w:val="22"/>
              </w:rPr>
            </w:pPr>
            <w:r w:rsidRPr="00F21593">
              <w:rPr>
                <w:color w:val="000000"/>
                <w:sz w:val="22"/>
                <w:szCs w:val="22"/>
              </w:rPr>
              <w:t>Управління архітектури та містобудування Сумської міської ради</w:t>
            </w:r>
          </w:p>
        </w:tc>
      </w:tr>
    </w:tbl>
    <w:p w:rsidR="00E56D33" w:rsidRPr="008E1290" w:rsidRDefault="006706ED" w:rsidP="00E56D33">
      <w:pPr>
        <w:jc w:val="both"/>
        <w:rPr>
          <w:color w:val="000000" w:themeColor="text1"/>
        </w:rPr>
      </w:pPr>
      <w:r w:rsidRPr="00F03AEC">
        <w:rPr>
          <w:b/>
          <w:color w:val="FF0000"/>
          <w:sz w:val="28"/>
          <w:szCs w:val="28"/>
        </w:rPr>
        <w:br w:type="textWrapping" w:clear="all"/>
      </w:r>
      <w:r w:rsidR="00130C7F" w:rsidRPr="008E1290">
        <w:rPr>
          <w:color w:val="000000" w:themeColor="text1"/>
          <w:sz w:val="28"/>
          <w:szCs w:val="28"/>
        </w:rPr>
        <w:t xml:space="preserve">  </w:t>
      </w:r>
      <w:r w:rsidR="00E56D33" w:rsidRPr="008E1290">
        <w:rPr>
          <w:color w:val="000000" w:themeColor="text1"/>
          <w:sz w:val="28"/>
          <w:szCs w:val="28"/>
        </w:rPr>
        <w:t xml:space="preserve">Сумський міський голова                                                                                                                    </w:t>
      </w:r>
      <w:r w:rsidR="005845BE">
        <w:rPr>
          <w:color w:val="000000" w:themeColor="text1"/>
          <w:sz w:val="28"/>
          <w:szCs w:val="28"/>
        </w:rPr>
        <w:t xml:space="preserve">          </w:t>
      </w:r>
      <w:r w:rsidR="00E56D33" w:rsidRPr="008E1290">
        <w:rPr>
          <w:color w:val="000000" w:themeColor="text1"/>
          <w:sz w:val="28"/>
          <w:szCs w:val="28"/>
        </w:rPr>
        <w:t xml:space="preserve">  </w:t>
      </w:r>
      <w:r w:rsidR="005845BE">
        <w:rPr>
          <w:color w:val="000000" w:themeColor="text1"/>
          <w:sz w:val="28"/>
          <w:szCs w:val="28"/>
        </w:rPr>
        <w:t>Олександр ЛИСЕНКО</w:t>
      </w:r>
    </w:p>
    <w:p w:rsidR="00E56D33" w:rsidRPr="008E1290" w:rsidRDefault="00E56D33" w:rsidP="00E56D33">
      <w:pPr>
        <w:jc w:val="both"/>
        <w:rPr>
          <w:color w:val="000000" w:themeColor="text1"/>
        </w:rPr>
      </w:pPr>
    </w:p>
    <w:p w:rsidR="00E56D33" w:rsidRPr="008E1290" w:rsidRDefault="00130C7F" w:rsidP="00E56D33">
      <w:pPr>
        <w:jc w:val="both"/>
        <w:rPr>
          <w:color w:val="000000" w:themeColor="text1"/>
        </w:rPr>
      </w:pPr>
      <w:r w:rsidRPr="008E1290">
        <w:rPr>
          <w:color w:val="000000" w:themeColor="text1"/>
        </w:rPr>
        <w:t xml:space="preserve">  </w:t>
      </w:r>
      <w:r w:rsidR="00E56D33" w:rsidRPr="008E1290">
        <w:rPr>
          <w:color w:val="000000" w:themeColor="text1"/>
        </w:rPr>
        <w:t xml:space="preserve">Виконавець: </w:t>
      </w:r>
      <w:r w:rsidR="005845BE">
        <w:rPr>
          <w:color w:val="000000" w:themeColor="text1"/>
        </w:rPr>
        <w:t>Ольга БОНДАРЕНКО</w:t>
      </w:r>
      <w:bookmarkStart w:id="0" w:name="_GoBack"/>
      <w:bookmarkEnd w:id="0"/>
    </w:p>
    <w:sectPr w:rsidR="00E56D33" w:rsidRPr="008E1290" w:rsidSect="00A85D25">
      <w:headerReference w:type="default" r:id="rId7"/>
      <w:pgSz w:w="16838" w:h="11906" w:orient="landscape"/>
      <w:pgMar w:top="1701" w:right="1134" w:bottom="567" w:left="1134" w:header="170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1A" w:rsidRDefault="00EE431A" w:rsidP="00B61268">
      <w:r>
        <w:separator/>
      </w:r>
    </w:p>
  </w:endnote>
  <w:endnote w:type="continuationSeparator" w:id="0">
    <w:p w:rsidR="00EE431A" w:rsidRDefault="00EE431A" w:rsidP="00B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1A" w:rsidRDefault="00EE431A" w:rsidP="00B61268">
      <w:r>
        <w:separator/>
      </w:r>
    </w:p>
  </w:footnote>
  <w:footnote w:type="continuationSeparator" w:id="0">
    <w:p w:rsidR="00EE431A" w:rsidRDefault="00EE431A" w:rsidP="00B6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68" w:rsidRDefault="00B61268" w:rsidP="006706ED">
    <w:pPr>
      <w:pStyle w:val="a3"/>
      <w:ind w:left="11907"/>
    </w:pPr>
    <w:r>
      <w:t>Продовження додатку 2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130C7F"/>
    <w:rsid w:val="001B3390"/>
    <w:rsid w:val="001B4A9D"/>
    <w:rsid w:val="00213DE1"/>
    <w:rsid w:val="004253EE"/>
    <w:rsid w:val="005845BE"/>
    <w:rsid w:val="00626B73"/>
    <w:rsid w:val="006706ED"/>
    <w:rsid w:val="00824E20"/>
    <w:rsid w:val="00841117"/>
    <w:rsid w:val="00872F5D"/>
    <w:rsid w:val="008B2DD3"/>
    <w:rsid w:val="008E1290"/>
    <w:rsid w:val="00992C86"/>
    <w:rsid w:val="00A07271"/>
    <w:rsid w:val="00A85D25"/>
    <w:rsid w:val="00AA072C"/>
    <w:rsid w:val="00AD6A7A"/>
    <w:rsid w:val="00B27A71"/>
    <w:rsid w:val="00B61268"/>
    <w:rsid w:val="00B635A0"/>
    <w:rsid w:val="00CC5719"/>
    <w:rsid w:val="00E56D33"/>
    <w:rsid w:val="00ED0A56"/>
    <w:rsid w:val="00EE431A"/>
    <w:rsid w:val="00F03AEC"/>
    <w:rsid w:val="00F2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4D2E"/>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61268"/>
    <w:pPr>
      <w:tabs>
        <w:tab w:val="center" w:pos="4677"/>
        <w:tab w:val="right" w:pos="9355"/>
      </w:tabs>
    </w:pPr>
    <w:rPr>
      <w:szCs w:val="21"/>
    </w:rPr>
  </w:style>
  <w:style w:type="character" w:customStyle="1" w:styleId="af1">
    <w:name w:val="Нижний колонтитул Знак"/>
    <w:basedOn w:val="a0"/>
    <w:link w:val="af0"/>
    <w:uiPriority w:val="99"/>
    <w:rsid w:val="00B61268"/>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15</cp:revision>
  <cp:lastPrinted>2021-10-28T06:08:00Z</cp:lastPrinted>
  <dcterms:created xsi:type="dcterms:W3CDTF">2021-01-28T06:41:00Z</dcterms:created>
  <dcterms:modified xsi:type="dcterms:W3CDTF">2021-10-28T06:09:00Z</dcterms:modified>
</cp:coreProperties>
</file>