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5" w:rsidRPr="008617D2" w:rsidRDefault="001D346B" w:rsidP="00A002B7">
      <w:pPr>
        <w:pStyle w:val="a7"/>
        <w:ind w:left="4678"/>
        <w:jc w:val="both"/>
        <w:rPr>
          <w:rFonts w:ascii="Times New Roman" w:hAnsi="Times New Roman"/>
          <w:sz w:val="26"/>
          <w:szCs w:val="26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A002B7" w:rsidRDefault="00A002B7" w:rsidP="00A002B7">
      <w:pPr>
        <w:pStyle w:val="a7"/>
        <w:ind w:left="4678"/>
        <w:rPr>
          <w:rFonts w:ascii="Times New Roman" w:hAnsi="Times New Roman"/>
          <w:sz w:val="26"/>
          <w:szCs w:val="26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>до рішення Сумської міської ради «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Про програму «Автоматизація муніципальних телекомунікаційних систем на 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</w:t>
      </w:r>
      <w:r w:rsidR="00200695">
        <w:rPr>
          <w:rFonts w:ascii="Times New Roman" w:hAnsi="Times New Roman"/>
          <w:sz w:val="26"/>
          <w:szCs w:val="26"/>
          <w:lang w:val="uk-UA"/>
        </w:rPr>
        <w:t>2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-20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</w:t>
      </w:r>
      <w:r w:rsidR="00200695">
        <w:rPr>
          <w:rFonts w:ascii="Times New Roman" w:hAnsi="Times New Roman"/>
          <w:sz w:val="26"/>
          <w:szCs w:val="26"/>
          <w:lang w:val="uk-UA"/>
        </w:rPr>
        <w:t>4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 xml:space="preserve"> роки </w:t>
      </w:r>
      <w:r w:rsidR="00932E29">
        <w:rPr>
          <w:rFonts w:ascii="Times New Roman" w:hAnsi="Times New Roman"/>
          <w:sz w:val="26"/>
          <w:szCs w:val="26"/>
          <w:lang w:val="uk-UA"/>
        </w:rPr>
        <w:t>Сумської міської</w:t>
      </w:r>
      <w:r w:rsidR="008617D2" w:rsidRPr="008617D2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»</w:t>
      </w:r>
    </w:p>
    <w:p w:rsidR="00AD3BF6" w:rsidRPr="008617D2" w:rsidRDefault="00AD3BF6" w:rsidP="00A002B7">
      <w:pPr>
        <w:pStyle w:val="a7"/>
        <w:ind w:left="467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24 листопада 2021 року № 2510-МР</w:t>
      </w:r>
    </w:p>
    <w:p w:rsidR="006F7A40" w:rsidRPr="008617D2" w:rsidRDefault="006F7A40" w:rsidP="00200695">
      <w:pPr>
        <w:pStyle w:val="a7"/>
        <w:ind w:left="397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AD3BF6" w:rsidP="00EC0C2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EC0C2E" w:rsidRPr="00EE6E39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8617D2" w:rsidRDefault="00EC0C2E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EA2EF6" w:rsidRPr="00EE6E39">
        <w:rPr>
          <w:rFonts w:ascii="Times New Roman" w:hAnsi="Times New Roman"/>
          <w:b/>
          <w:sz w:val="28"/>
          <w:szCs w:val="28"/>
          <w:lang w:val="uk-UA"/>
        </w:rPr>
        <w:t>Автоматизація муніципальних телекомунікаційних систем</w:t>
      </w:r>
      <w:r w:rsidR="008617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17D2" w:rsidRDefault="00EA2EF6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b/>
          <w:sz w:val="28"/>
          <w:szCs w:val="28"/>
        </w:rPr>
        <w:t>2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b/>
          <w:sz w:val="28"/>
          <w:szCs w:val="28"/>
        </w:rPr>
        <w:t>4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 роки </w:t>
      </w:r>
      <w:r w:rsidR="00932E29">
        <w:rPr>
          <w:rFonts w:ascii="Times New Roman" w:hAnsi="Times New Roman"/>
          <w:b/>
          <w:sz w:val="28"/>
          <w:szCs w:val="28"/>
          <w:lang w:val="uk-UA"/>
        </w:rPr>
        <w:t>Сумської міської</w:t>
      </w:r>
    </w:p>
    <w:p w:rsidR="00EC0C2E" w:rsidRPr="00FA3F7F" w:rsidRDefault="008617D2" w:rsidP="00EA2EF6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8617D2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EC0C2E" w:rsidRPr="00EE6E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C0C2E" w:rsidRPr="008617D2" w:rsidRDefault="00EC0C2E" w:rsidP="00EC0C2E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425B96" w:rsidRPr="008617D2" w:rsidRDefault="00425B96" w:rsidP="0014360E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EDC" w:rsidRDefault="000E735C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4360E" w:rsidRPr="00EE6E39">
        <w:rPr>
          <w:rFonts w:ascii="Times New Roman" w:hAnsi="Times New Roman"/>
          <w:sz w:val="28"/>
          <w:szCs w:val="28"/>
          <w:lang w:val="uk-UA"/>
        </w:rPr>
        <w:t>рограма «Автоматиз</w:t>
      </w:r>
      <w:r w:rsidR="00FD4E77">
        <w:rPr>
          <w:rFonts w:ascii="Times New Roman" w:hAnsi="Times New Roman"/>
          <w:sz w:val="28"/>
          <w:szCs w:val="28"/>
          <w:lang w:val="uk-UA"/>
        </w:rPr>
        <w:t>ація муніципальних телекомуніка</w:t>
      </w:r>
      <w:r w:rsidR="0014360E" w:rsidRPr="00EE6E39">
        <w:rPr>
          <w:rFonts w:ascii="Times New Roman" w:hAnsi="Times New Roman"/>
          <w:sz w:val="28"/>
          <w:szCs w:val="28"/>
          <w:lang w:val="uk-UA"/>
        </w:rPr>
        <w:t>ційних систем на 20</w:t>
      </w:r>
      <w:r w:rsidR="00FC025A">
        <w:rPr>
          <w:rFonts w:ascii="Times New Roman" w:hAnsi="Times New Roman"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sz w:val="28"/>
          <w:szCs w:val="28"/>
          <w:lang w:val="uk-UA"/>
        </w:rPr>
        <w:t>2</w:t>
      </w:r>
      <w:r w:rsidR="0014360E" w:rsidRPr="00EE6E39">
        <w:rPr>
          <w:rFonts w:ascii="Times New Roman" w:hAnsi="Times New Roman"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sz w:val="28"/>
          <w:szCs w:val="28"/>
          <w:lang w:val="uk-UA"/>
        </w:rPr>
        <w:t>4</w:t>
      </w:r>
      <w:r w:rsidR="0014360E" w:rsidRPr="00EE6E39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8617D2">
        <w:rPr>
          <w:rFonts w:ascii="Times New Roman" w:hAnsi="Times New Roman"/>
          <w:sz w:val="28"/>
          <w:szCs w:val="28"/>
          <w:lang w:val="uk-UA"/>
        </w:rPr>
        <w:t>Сумської міської територіальної громади</w:t>
      </w:r>
      <w:r w:rsidR="0014360E" w:rsidRPr="00EE6E39">
        <w:rPr>
          <w:rFonts w:ascii="Times New Roman" w:hAnsi="Times New Roman"/>
          <w:sz w:val="28"/>
          <w:szCs w:val="28"/>
          <w:lang w:val="uk-UA"/>
        </w:rPr>
        <w:t>» (надалі – Програма) - це с</w:t>
      </w:r>
      <w:r w:rsidR="007C4EDC">
        <w:rPr>
          <w:rFonts w:ascii="Times New Roman" w:hAnsi="Times New Roman"/>
          <w:sz w:val="28"/>
          <w:szCs w:val="28"/>
          <w:lang w:val="uk-UA"/>
        </w:rPr>
        <w:t>интез інформаційно-комунікаційних технологій спрямованих на: забезпечення комунікацій між громадянами, бізнесом  і владою; безперешкодний доступ до публічної інформації; сприяння участі громадян у процесах управління містом; покращенню якості надання послуг населенню та наближенню їх до вимог мешканців.</w:t>
      </w:r>
    </w:p>
    <w:p w:rsidR="00634228" w:rsidRDefault="007C4EDC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ради, підпорядкованих виконавчим органам комунальних підприємств, організацій та закладів</w:t>
      </w:r>
      <w:r w:rsidR="00634228">
        <w:rPr>
          <w:rFonts w:ascii="Times New Roman" w:hAnsi="Times New Roman"/>
          <w:sz w:val="28"/>
          <w:szCs w:val="28"/>
          <w:lang w:val="uk-UA"/>
        </w:rPr>
        <w:t>.</w:t>
      </w:r>
    </w:p>
    <w:p w:rsidR="0014360E" w:rsidRPr="00EE6E39" w:rsidRDefault="00634228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інформаційно-комунікаційні технології все ширше використовуються в повсякденному житті </w:t>
      </w:r>
      <w:r w:rsidR="007C4E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сумчан, житлово-комунальному господарстві, системах охорони здоров’я, освіти та культури. Все частіше мешканці міста використовують їх для направлення звернень до міської ради, ознайомлення з роботою органів влади, повідомлення про проблемні питання та ін.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531"/>
        <w:gridCol w:w="5012"/>
      </w:tblGrid>
      <w:tr w:rsidR="00237474" w:rsidRPr="00961398" w:rsidTr="00C0618B">
        <w:trPr>
          <w:cantSplit/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розробки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  <w:tr w:rsidR="00237474" w:rsidRPr="002C4A93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="00C0618B">
              <w:rPr>
                <w:rFonts w:ascii="Times New Roman" w:hAnsi="Times New Roman"/>
                <w:sz w:val="26"/>
                <w:szCs w:val="26"/>
                <w:lang w:val="uk-UA"/>
              </w:rPr>
              <w:t>ряд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чого документа про роз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робку програми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Рішення Сумсь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кої міської ради від 2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лютого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2012 №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1207-МР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«Про 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Положення про Порядок розробки, затвердження та виконання міських цільових (комплексних) програм, 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програми економічного і соціального розвитку міста Суми та виконання міського бюджету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</w:tc>
      </w:tr>
      <w:tr w:rsidR="00237474" w:rsidRPr="00961398" w:rsidTr="00C0618B">
        <w:trPr>
          <w:cantSplit/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ind w:right="-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замовник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31A7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Сумська міська рада</w:t>
            </w:r>
          </w:p>
        </w:tc>
      </w:tr>
      <w:tr w:rsidR="00EC0C2E" w:rsidRPr="00961398" w:rsidTr="00C0618B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79758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</w:tr>
      <w:tr w:rsidR="00EC0C2E" w:rsidRPr="002C4A93" w:rsidTr="00C0618B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Співрозробники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бухгалтерського обліку та звітності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210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виконавчого комітету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ради</w:t>
            </w:r>
          </w:p>
        </w:tc>
      </w:tr>
      <w:tr w:rsidR="00EC0C2E" w:rsidRPr="002C4A93" w:rsidTr="00C234D3">
        <w:trPr>
          <w:cantSplit/>
          <w:trHeight w:val="1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Відповідальні виконавці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720B4B" w:rsidRDefault="00C234D3" w:rsidP="00C234D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(головний розпорядник бюджетних коштів -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A002B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иконавчи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й комітет Сумської міської ради),</w:t>
            </w:r>
            <w:r w:rsidR="00720B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476EFC"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</w:t>
            </w:r>
            <w:r w:rsidR="0053655A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</w:p>
        </w:tc>
      </w:tr>
      <w:tr w:rsidR="00C234D3" w:rsidRPr="002C4A93" w:rsidTr="00C0618B">
        <w:trPr>
          <w:cantSplit/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C234D3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961398" w:rsidRDefault="00C234D3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Виконавці програми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EE1D6A" w:rsidRDefault="00C234D3" w:rsidP="00C234D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в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виконавчого комітету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управління «Центр надання адміністративних послуг у м. Суми», 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Сумської міської ради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>, у</w:t>
            </w:r>
            <w:r w:rsidR="00EE1D6A" w:rsidRPr="00EE1D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освіти 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>і науки Сумської міської ради, д</w:t>
            </w:r>
            <w:r w:rsidR="00EE1D6A" w:rsidRPr="00EE1D6A">
              <w:rPr>
                <w:rFonts w:ascii="Times New Roman" w:hAnsi="Times New Roman"/>
                <w:sz w:val="26"/>
                <w:szCs w:val="26"/>
                <w:lang w:val="uk-UA"/>
              </w:rPr>
              <w:t>епартамент інфраструктури міста Сумської міської ради</w:t>
            </w:r>
          </w:p>
        </w:tc>
      </w:tr>
      <w:tr w:rsidR="00EC0C2E" w:rsidRPr="00961398" w:rsidTr="00C0618B">
        <w:trPr>
          <w:cantSplit/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BE621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696C73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EA2EF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роки)</w:t>
            </w:r>
          </w:p>
        </w:tc>
      </w:tr>
      <w:tr w:rsidR="00EC0C2E" w:rsidRPr="00961398" w:rsidTr="00C0618B">
        <w:trPr>
          <w:cantSplit/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Перелік бюджетів, які бе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руть участь у виконанні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8617D2" w:rsidP="00932E2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юджет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</w:tr>
      <w:tr w:rsidR="00EC0C2E" w:rsidRPr="00961398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FD4E77" w:rsidRDefault="00EC0C2E" w:rsidP="00267E6B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рограми,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сього, у тому числі: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</w:t>
            </w:r>
            <w:r w:rsidR="00F95C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5,6</w:t>
            </w:r>
            <w:r w:rsidR="006D3F74" w:rsidRP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EC0C2E" w:rsidRPr="00274B7D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602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6,8 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ис. грн.</w:t>
            </w:r>
          </w:p>
          <w:p w:rsidR="00EC0C2E" w:rsidRPr="00274B7D" w:rsidRDefault="00267E6B" w:rsidP="00FD281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34916,8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267E6B" w:rsidP="006D3F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34712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274B7D" w:rsidRPr="00274B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6D3F74" w:rsidRPr="00961398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C234D3" w:rsidP="006D3F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6D3F74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6D3F74" w:rsidP="006D3F74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коштів бюджету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6D3F74" w:rsidP="006D3F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F95C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</w:t>
            </w:r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5,6</w:t>
            </w:r>
            <w:r w:rsidRP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74B7D" w:rsidRPr="00274B7D" w:rsidRDefault="006D3F74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602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6,8 </w:t>
            </w:r>
            <w:r w:rsidR="00274B7D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74B7D" w:rsidRPr="00274B7D" w:rsidRDefault="00274B7D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2023 рік — 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34916,8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6D3F74" w:rsidRPr="00961398" w:rsidRDefault="00274B7D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2024 рік — 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34712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Pr="00274B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</w:tbl>
    <w:p w:rsidR="008617D2" w:rsidRPr="00961398" w:rsidRDefault="008617D2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:rsidR="00BE621D" w:rsidRPr="00EE6E39" w:rsidRDefault="00BE621D" w:rsidP="00BE621D">
      <w:pPr>
        <w:pStyle w:val="a7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(тис.грн.)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EA2EF6" w:rsidRPr="00961398" w:rsidTr="002331A7">
        <w:tc>
          <w:tcPr>
            <w:tcW w:w="2943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коштів на ви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витрат на виконання про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грами</w:t>
            </w:r>
          </w:p>
        </w:tc>
      </w:tr>
      <w:tr w:rsidR="00EA2EF6" w:rsidRPr="00961398" w:rsidTr="002331A7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4C4B69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C2106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417" w:type="dxa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C2106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14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ресурсів, усьо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274B7D" w:rsidP="002C4A9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  <w:r w:rsidR="00C234D3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02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6,8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  <w:r w:rsidRPr="00D56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916,8</w:t>
            </w:r>
          </w:p>
        </w:tc>
        <w:tc>
          <w:tcPr>
            <w:tcW w:w="1417" w:type="dxa"/>
          </w:tcPr>
          <w:p w:rsidR="00EA2EF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</w:t>
            </w:r>
            <w:r w:rsidRPr="006D3F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712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014" w:type="dxa"/>
            <w:shd w:val="clear" w:color="auto" w:fill="auto"/>
          </w:tcPr>
          <w:p w:rsidR="00EA2EF6" w:rsidRPr="001F4C59" w:rsidRDefault="00274B7D" w:rsidP="002C4A9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>5,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4469B6" w:rsidRPr="00961398" w:rsidTr="002331A7">
        <w:trPr>
          <w:trHeight w:val="255"/>
        </w:trPr>
        <w:tc>
          <w:tcPr>
            <w:tcW w:w="2943" w:type="dxa"/>
            <w:shd w:val="clear" w:color="auto" w:fill="auto"/>
          </w:tcPr>
          <w:p w:rsidR="004469B6" w:rsidRPr="00961398" w:rsidRDefault="004469B6" w:rsidP="00932E2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8617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617D2"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469B6" w:rsidRPr="00961398" w:rsidRDefault="00274B7D" w:rsidP="002C4A9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  <w:r w:rsidR="00C234D3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02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6,8</w:t>
            </w:r>
          </w:p>
        </w:tc>
        <w:tc>
          <w:tcPr>
            <w:tcW w:w="1390" w:type="dxa"/>
            <w:shd w:val="clear" w:color="auto" w:fill="auto"/>
          </w:tcPr>
          <w:p w:rsidR="004469B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  <w:r w:rsidRPr="00D56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916,8</w:t>
            </w:r>
          </w:p>
        </w:tc>
        <w:tc>
          <w:tcPr>
            <w:tcW w:w="1417" w:type="dxa"/>
          </w:tcPr>
          <w:p w:rsidR="004469B6" w:rsidRPr="001F4C59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</w:t>
            </w:r>
            <w:r w:rsidRPr="006D3F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712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014" w:type="dxa"/>
            <w:shd w:val="clear" w:color="auto" w:fill="auto"/>
          </w:tcPr>
          <w:p w:rsidR="004469B6" w:rsidRPr="001F4C59" w:rsidRDefault="00274B7D" w:rsidP="002C4A9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C4A93"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  <w:bookmarkStart w:id="0" w:name="_GoBack"/>
            <w:bookmarkEnd w:id="0"/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>5,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</w:tbl>
    <w:p w:rsidR="006564D9" w:rsidRDefault="006564D9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lastRenderedPageBreak/>
        <w:t>2. Визначення проблем, на розв’язання яких спрямована Про</w:t>
      </w:r>
      <w:r w:rsidR="00424E96" w:rsidRPr="00EE6E39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b/>
          <w:sz w:val="28"/>
          <w:szCs w:val="28"/>
          <w:lang w:val="uk-UA"/>
        </w:rPr>
        <w:t>грама</w:t>
      </w:r>
    </w:p>
    <w:p w:rsidR="00797589" w:rsidRPr="00EE6E39" w:rsidRDefault="00797589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474F" w:rsidRDefault="00461EB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Сучасне життя неможливо уявити без використання </w:t>
      </w:r>
      <w:r w:rsidRPr="004D087C">
        <w:rPr>
          <w:rFonts w:ascii="Times New Roman" w:hAnsi="Times New Roman"/>
          <w:sz w:val="28"/>
          <w:szCs w:val="28"/>
          <w:lang w:val="uk-UA"/>
        </w:rPr>
        <w:t>ІТ-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технологій. Сумська міська рада має досить велику та розвинену </w:t>
      </w:r>
      <w:r w:rsidRPr="004D087C">
        <w:rPr>
          <w:rFonts w:ascii="Times New Roman" w:hAnsi="Times New Roman"/>
          <w:sz w:val="28"/>
          <w:szCs w:val="28"/>
          <w:lang w:val="uk-UA"/>
        </w:rPr>
        <w:t>ІТ-</w:t>
      </w:r>
      <w:r>
        <w:rPr>
          <w:rFonts w:ascii="Times New Roman" w:hAnsi="Times New Roman"/>
          <w:sz w:val="28"/>
          <w:szCs w:val="28"/>
          <w:lang w:val="uk-UA"/>
        </w:rPr>
        <w:t xml:space="preserve">інфраструктуру яку необхідно утримувати та розвивати.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411" w:rsidRDefault="00EC0C2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Метою Програми є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2E2">
        <w:rPr>
          <w:rFonts w:ascii="Times New Roman" w:hAnsi="Times New Roman"/>
          <w:sz w:val="28"/>
          <w:szCs w:val="28"/>
          <w:lang w:val="uk-UA"/>
        </w:rPr>
        <w:t>підтримка функціювання</w:t>
      </w:r>
      <w:r w:rsidR="00461EBC">
        <w:rPr>
          <w:rFonts w:ascii="Times New Roman" w:hAnsi="Times New Roman"/>
          <w:sz w:val="28"/>
          <w:szCs w:val="28"/>
          <w:lang w:val="uk-UA"/>
        </w:rPr>
        <w:t xml:space="preserve"> та розвиток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ІТ-інфраструктури Сумської міської ради </w:t>
      </w:r>
      <w:r w:rsidR="00CC32E2">
        <w:rPr>
          <w:rFonts w:ascii="Times New Roman" w:hAnsi="Times New Roman"/>
          <w:sz w:val="28"/>
          <w:szCs w:val="28"/>
          <w:lang w:val="uk-UA"/>
        </w:rPr>
        <w:t>та підвищення безпеки в місті</w:t>
      </w:r>
      <w:r w:rsidR="00CF0411">
        <w:rPr>
          <w:rFonts w:ascii="Times New Roman" w:hAnsi="Times New Roman"/>
          <w:sz w:val="28"/>
          <w:szCs w:val="28"/>
          <w:lang w:val="uk-UA"/>
        </w:rPr>
        <w:t>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4.  Напрями діяльності (підпрограми) та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Напрями діяльності Програми, узгоджені з її метою,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  додатку </w:t>
      </w:r>
      <w:r w:rsidRPr="00EE6E39">
        <w:rPr>
          <w:rFonts w:ascii="Times New Roman" w:hAnsi="Times New Roman"/>
          <w:sz w:val="28"/>
          <w:szCs w:val="28"/>
        </w:rPr>
        <w:t>1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5.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Завдання Програми, спрямовані на досягнення  мети, 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П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рограми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3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D3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9C7" w:rsidRPr="00EE6E39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959C7" w:rsidRPr="00EE6E39" w:rsidRDefault="00C959C7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Контроль та координація за організацією виконання  Програми покла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дається на постійну комісію </w:t>
      </w:r>
      <w:r w:rsidR="008C7553" w:rsidRPr="008C7553">
        <w:rPr>
          <w:rFonts w:ascii="Times New Roman" w:hAnsi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C7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E39"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Організація виконання Програми покладається на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 w:rsidRPr="00EE6E39">
        <w:rPr>
          <w:rFonts w:ascii="Times New Roman" w:hAnsi="Times New Roman"/>
          <w:sz w:val="28"/>
          <w:szCs w:val="28"/>
          <w:lang w:val="uk-UA"/>
        </w:rPr>
        <w:t>. Виконавці Програми щороку до 1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5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січня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надають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</w:t>
      </w:r>
      <w:r w:rsidR="002331A7">
        <w:rPr>
          <w:rFonts w:ascii="Times New Roman" w:hAnsi="Times New Roman"/>
          <w:sz w:val="28"/>
          <w:szCs w:val="28"/>
          <w:lang w:val="uk-UA"/>
        </w:rPr>
        <w:t>у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та комп’ютерного забезпечення Сумської міської ради </w:t>
      </w:r>
      <w:r w:rsidRPr="00EE6E39">
        <w:rPr>
          <w:rFonts w:ascii="Times New Roman" w:hAnsi="Times New Roman"/>
          <w:sz w:val="28"/>
          <w:szCs w:val="28"/>
          <w:lang w:val="uk-UA"/>
        </w:rPr>
        <w:t>ін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формацію про хід виконання даної Програми за попередній рік.</w:t>
      </w:r>
    </w:p>
    <w:p w:rsidR="0014589A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AD3BF6" w:rsidRDefault="00AD3BF6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AD3BF6" w:rsidRDefault="00AD3BF6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056AA2" w:rsidRPr="00EE6E39" w:rsidRDefault="00932E29" w:rsidP="0097174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CC32E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AD3BF6">
        <w:rPr>
          <w:rFonts w:ascii="Times New Roman" w:hAnsi="Times New Roman"/>
          <w:sz w:val="28"/>
          <w:szCs w:val="28"/>
          <w:lang w:val="uk-UA"/>
        </w:rPr>
        <w:t>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AD3BF6">
        <w:rPr>
          <w:rFonts w:ascii="Times New Roman" w:hAnsi="Times New Roman"/>
          <w:sz w:val="28"/>
          <w:szCs w:val="28"/>
          <w:lang w:val="uk-UA"/>
        </w:rPr>
        <w:t>ИСЕНКО</w:t>
      </w:r>
    </w:p>
    <w:p w:rsidR="00C959C7" w:rsidRPr="00EE6E39" w:rsidRDefault="00C959C7" w:rsidP="00056AA2">
      <w:pPr>
        <w:pStyle w:val="a7"/>
        <w:rPr>
          <w:rFonts w:ascii="Times New Roman" w:hAnsi="Times New Roman"/>
          <w:sz w:val="16"/>
          <w:szCs w:val="16"/>
          <w:lang w:val="uk-UA"/>
        </w:rPr>
      </w:pPr>
    </w:p>
    <w:p w:rsidR="00056AA2" w:rsidRPr="00056AA2" w:rsidRDefault="00056AA2" w:rsidP="00056AA2">
      <w:pPr>
        <w:pStyle w:val="a7"/>
        <w:rPr>
          <w:rFonts w:ascii="Times New Roman" w:hAnsi="Times New Roman"/>
          <w:sz w:val="20"/>
          <w:szCs w:val="20"/>
          <w:lang w:val="uk-UA"/>
        </w:rPr>
      </w:pPr>
      <w:r w:rsidRPr="00EE6E39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r w:rsidR="00CC32E2">
        <w:rPr>
          <w:rFonts w:ascii="Times New Roman" w:hAnsi="Times New Roman"/>
          <w:sz w:val="20"/>
          <w:szCs w:val="20"/>
          <w:lang w:val="uk-UA"/>
        </w:rPr>
        <w:t>Річкаль</w:t>
      </w:r>
      <w:r w:rsidRPr="00EE6E3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C32E2">
        <w:rPr>
          <w:rFonts w:ascii="Times New Roman" w:hAnsi="Times New Roman"/>
          <w:sz w:val="20"/>
          <w:szCs w:val="20"/>
          <w:lang w:val="uk-UA"/>
        </w:rPr>
        <w:t>І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  <w:r w:rsidR="00CC32E2">
        <w:rPr>
          <w:rFonts w:ascii="Times New Roman" w:hAnsi="Times New Roman"/>
          <w:sz w:val="20"/>
          <w:szCs w:val="20"/>
          <w:lang w:val="uk-UA"/>
        </w:rPr>
        <w:t>А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  <w:r w:rsidR="00AD3BF6">
        <w:rPr>
          <w:rFonts w:ascii="Times New Roman" w:hAnsi="Times New Roman"/>
          <w:sz w:val="20"/>
          <w:szCs w:val="20"/>
          <w:lang w:val="uk-UA"/>
        </w:rPr>
        <w:t xml:space="preserve"> __________</w:t>
      </w:r>
    </w:p>
    <w:sectPr w:rsidR="00056AA2" w:rsidRPr="00056AA2" w:rsidSect="006564D9">
      <w:pgSz w:w="11906" w:h="16838"/>
      <w:pgMar w:top="11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6BA"/>
    <w:multiLevelType w:val="hybridMultilevel"/>
    <w:tmpl w:val="01A2F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C85DBA"/>
    <w:multiLevelType w:val="hybridMultilevel"/>
    <w:tmpl w:val="73EEE1A4"/>
    <w:lvl w:ilvl="0" w:tplc="60DC56C6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7639DF"/>
    <w:multiLevelType w:val="hybridMultilevel"/>
    <w:tmpl w:val="549EA0FA"/>
    <w:lvl w:ilvl="0" w:tplc="465A48D4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3"/>
    <w:rsid w:val="00003D8B"/>
    <w:rsid w:val="00020AE2"/>
    <w:rsid w:val="00031243"/>
    <w:rsid w:val="00043A2C"/>
    <w:rsid w:val="00056AA2"/>
    <w:rsid w:val="000706FD"/>
    <w:rsid w:val="00073EB0"/>
    <w:rsid w:val="000747D1"/>
    <w:rsid w:val="00090C6F"/>
    <w:rsid w:val="00093C00"/>
    <w:rsid w:val="000B672C"/>
    <w:rsid w:val="000B7B5C"/>
    <w:rsid w:val="000B7D79"/>
    <w:rsid w:val="000E3B9F"/>
    <w:rsid w:val="000E735C"/>
    <w:rsid w:val="000F58FA"/>
    <w:rsid w:val="0014360E"/>
    <w:rsid w:val="0014589A"/>
    <w:rsid w:val="00165916"/>
    <w:rsid w:val="001664B0"/>
    <w:rsid w:val="00183997"/>
    <w:rsid w:val="00184F56"/>
    <w:rsid w:val="00195D13"/>
    <w:rsid w:val="001A5D5B"/>
    <w:rsid w:val="001B2637"/>
    <w:rsid w:val="001B3342"/>
    <w:rsid w:val="001D2E7B"/>
    <w:rsid w:val="001D346B"/>
    <w:rsid w:val="001D4809"/>
    <w:rsid w:val="001D5FA6"/>
    <w:rsid w:val="001E1437"/>
    <w:rsid w:val="001F4C59"/>
    <w:rsid w:val="00200695"/>
    <w:rsid w:val="002331A7"/>
    <w:rsid w:val="002340A4"/>
    <w:rsid w:val="00237474"/>
    <w:rsid w:val="0024581C"/>
    <w:rsid w:val="002505A8"/>
    <w:rsid w:val="00267E6B"/>
    <w:rsid w:val="00274B7D"/>
    <w:rsid w:val="00292629"/>
    <w:rsid w:val="00293821"/>
    <w:rsid w:val="0029540A"/>
    <w:rsid w:val="00297E70"/>
    <w:rsid w:val="002B22F6"/>
    <w:rsid w:val="002C1BF5"/>
    <w:rsid w:val="002C4A93"/>
    <w:rsid w:val="002F3D08"/>
    <w:rsid w:val="00301373"/>
    <w:rsid w:val="003453FE"/>
    <w:rsid w:val="00347A50"/>
    <w:rsid w:val="0036184D"/>
    <w:rsid w:val="0036369D"/>
    <w:rsid w:val="00375339"/>
    <w:rsid w:val="0038185D"/>
    <w:rsid w:val="003C0868"/>
    <w:rsid w:val="003D36A1"/>
    <w:rsid w:val="003E4C2A"/>
    <w:rsid w:val="00424E96"/>
    <w:rsid w:val="00425B96"/>
    <w:rsid w:val="0043567A"/>
    <w:rsid w:val="004469B6"/>
    <w:rsid w:val="00461EBC"/>
    <w:rsid w:val="00465A63"/>
    <w:rsid w:val="00471011"/>
    <w:rsid w:val="0047136D"/>
    <w:rsid w:val="004745D9"/>
    <w:rsid w:val="00476512"/>
    <w:rsid w:val="00476905"/>
    <w:rsid w:val="00476EFC"/>
    <w:rsid w:val="00482C99"/>
    <w:rsid w:val="00493D0D"/>
    <w:rsid w:val="00493F6F"/>
    <w:rsid w:val="004C4B69"/>
    <w:rsid w:val="004C4E7B"/>
    <w:rsid w:val="004D087C"/>
    <w:rsid w:val="004D0C18"/>
    <w:rsid w:val="004F421B"/>
    <w:rsid w:val="00513E96"/>
    <w:rsid w:val="00525563"/>
    <w:rsid w:val="0053655A"/>
    <w:rsid w:val="005367E6"/>
    <w:rsid w:val="005B31C6"/>
    <w:rsid w:val="005D36E2"/>
    <w:rsid w:val="005E6838"/>
    <w:rsid w:val="005F0F52"/>
    <w:rsid w:val="005F4D34"/>
    <w:rsid w:val="005F658B"/>
    <w:rsid w:val="006147C1"/>
    <w:rsid w:val="0063111D"/>
    <w:rsid w:val="00634228"/>
    <w:rsid w:val="00644AF1"/>
    <w:rsid w:val="00654F38"/>
    <w:rsid w:val="006564D9"/>
    <w:rsid w:val="006658A3"/>
    <w:rsid w:val="00674C2E"/>
    <w:rsid w:val="006759B2"/>
    <w:rsid w:val="00691ABC"/>
    <w:rsid w:val="00696C73"/>
    <w:rsid w:val="006A1EB0"/>
    <w:rsid w:val="006A40F4"/>
    <w:rsid w:val="006B008B"/>
    <w:rsid w:val="006B102D"/>
    <w:rsid w:val="006B798F"/>
    <w:rsid w:val="006C504B"/>
    <w:rsid w:val="006C5936"/>
    <w:rsid w:val="006D3F74"/>
    <w:rsid w:val="006F1822"/>
    <w:rsid w:val="006F7A40"/>
    <w:rsid w:val="00720B4B"/>
    <w:rsid w:val="00734B06"/>
    <w:rsid w:val="00745883"/>
    <w:rsid w:val="00752DC7"/>
    <w:rsid w:val="007670CF"/>
    <w:rsid w:val="007749DA"/>
    <w:rsid w:val="00797589"/>
    <w:rsid w:val="007B5E1E"/>
    <w:rsid w:val="007C4EDC"/>
    <w:rsid w:val="007E47B8"/>
    <w:rsid w:val="007E7907"/>
    <w:rsid w:val="007F2057"/>
    <w:rsid w:val="007F33CE"/>
    <w:rsid w:val="00816E76"/>
    <w:rsid w:val="00820B34"/>
    <w:rsid w:val="00831B31"/>
    <w:rsid w:val="00831F09"/>
    <w:rsid w:val="0083474F"/>
    <w:rsid w:val="00846FBE"/>
    <w:rsid w:val="00861238"/>
    <w:rsid w:val="008617D2"/>
    <w:rsid w:val="00875CDC"/>
    <w:rsid w:val="008B6898"/>
    <w:rsid w:val="008C0F82"/>
    <w:rsid w:val="008C5364"/>
    <w:rsid w:val="008C7553"/>
    <w:rsid w:val="008F5B56"/>
    <w:rsid w:val="00916951"/>
    <w:rsid w:val="00921EC6"/>
    <w:rsid w:val="00932E29"/>
    <w:rsid w:val="00944CAE"/>
    <w:rsid w:val="00947039"/>
    <w:rsid w:val="009574F4"/>
    <w:rsid w:val="00961398"/>
    <w:rsid w:val="00971740"/>
    <w:rsid w:val="009763FB"/>
    <w:rsid w:val="0099153A"/>
    <w:rsid w:val="00993DB1"/>
    <w:rsid w:val="009A2EBA"/>
    <w:rsid w:val="009A6EE0"/>
    <w:rsid w:val="009B6100"/>
    <w:rsid w:val="009B7A45"/>
    <w:rsid w:val="009C2563"/>
    <w:rsid w:val="009C5A3E"/>
    <w:rsid w:val="009D5166"/>
    <w:rsid w:val="009E3FB3"/>
    <w:rsid w:val="009E7E38"/>
    <w:rsid w:val="00A002B7"/>
    <w:rsid w:val="00A31843"/>
    <w:rsid w:val="00A364DE"/>
    <w:rsid w:val="00A804BC"/>
    <w:rsid w:val="00A8691B"/>
    <w:rsid w:val="00AD2C62"/>
    <w:rsid w:val="00AD3BF6"/>
    <w:rsid w:val="00AE2773"/>
    <w:rsid w:val="00B01050"/>
    <w:rsid w:val="00B403F7"/>
    <w:rsid w:val="00B90765"/>
    <w:rsid w:val="00BA3FC8"/>
    <w:rsid w:val="00BB0760"/>
    <w:rsid w:val="00BD3FB1"/>
    <w:rsid w:val="00BD5C77"/>
    <w:rsid w:val="00BE621D"/>
    <w:rsid w:val="00BF2EA4"/>
    <w:rsid w:val="00C0618B"/>
    <w:rsid w:val="00C21066"/>
    <w:rsid w:val="00C210BC"/>
    <w:rsid w:val="00C234D3"/>
    <w:rsid w:val="00C56029"/>
    <w:rsid w:val="00C64725"/>
    <w:rsid w:val="00C7429F"/>
    <w:rsid w:val="00C800A5"/>
    <w:rsid w:val="00C959C7"/>
    <w:rsid w:val="00CC32E2"/>
    <w:rsid w:val="00CD60BE"/>
    <w:rsid w:val="00CD65FB"/>
    <w:rsid w:val="00CE325E"/>
    <w:rsid w:val="00CE5654"/>
    <w:rsid w:val="00CF0411"/>
    <w:rsid w:val="00D0018F"/>
    <w:rsid w:val="00D1204D"/>
    <w:rsid w:val="00D13FD3"/>
    <w:rsid w:val="00D16940"/>
    <w:rsid w:val="00D21DBA"/>
    <w:rsid w:val="00D34496"/>
    <w:rsid w:val="00D5313D"/>
    <w:rsid w:val="00D53C2E"/>
    <w:rsid w:val="00D56726"/>
    <w:rsid w:val="00D90504"/>
    <w:rsid w:val="00D92BBB"/>
    <w:rsid w:val="00DA612D"/>
    <w:rsid w:val="00DB0077"/>
    <w:rsid w:val="00DD1784"/>
    <w:rsid w:val="00DD60A2"/>
    <w:rsid w:val="00E00655"/>
    <w:rsid w:val="00E16395"/>
    <w:rsid w:val="00E24F6D"/>
    <w:rsid w:val="00E3669A"/>
    <w:rsid w:val="00E37D9E"/>
    <w:rsid w:val="00EA2EF6"/>
    <w:rsid w:val="00EA6C87"/>
    <w:rsid w:val="00EC0C2E"/>
    <w:rsid w:val="00EE1D6A"/>
    <w:rsid w:val="00EE3EDA"/>
    <w:rsid w:val="00EE6E39"/>
    <w:rsid w:val="00F27435"/>
    <w:rsid w:val="00F32D02"/>
    <w:rsid w:val="00F6381F"/>
    <w:rsid w:val="00F73205"/>
    <w:rsid w:val="00F76751"/>
    <w:rsid w:val="00F77500"/>
    <w:rsid w:val="00F95C4B"/>
    <w:rsid w:val="00FA3D97"/>
    <w:rsid w:val="00FA3F7F"/>
    <w:rsid w:val="00FB1EF5"/>
    <w:rsid w:val="00FC025A"/>
    <w:rsid w:val="00FD0E48"/>
    <w:rsid w:val="00FD2816"/>
    <w:rsid w:val="00FD4E77"/>
    <w:rsid w:val="00FE21F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7D7A8"/>
  <w15:chartTrackingRefBased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95D13"/>
  </w:style>
  <w:style w:type="character" w:customStyle="1" w:styleId="grame">
    <w:name w:val="grame"/>
    <w:basedOn w:val="a0"/>
    <w:rsid w:val="000B7D79"/>
  </w:style>
  <w:style w:type="paragraph" w:customStyle="1" w:styleId="a3">
    <w:name w:val="Знак"/>
    <w:basedOn w:val="a"/>
    <w:rsid w:val="009169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91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D2E7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E6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769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   d</vt:lpstr>
    </vt:vector>
  </TitlesOfParts>
  <Company>-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  d</dc:title>
  <dc:subject/>
  <dc:creator>втз</dc:creator>
  <cp:keywords/>
  <cp:lastModifiedBy>Катерина Олександрівна Д'яченко</cp:lastModifiedBy>
  <cp:revision>9</cp:revision>
  <cp:lastPrinted>2019-08-21T05:27:00Z</cp:lastPrinted>
  <dcterms:created xsi:type="dcterms:W3CDTF">2021-11-05T08:00:00Z</dcterms:created>
  <dcterms:modified xsi:type="dcterms:W3CDTF">2021-11-26T11:12:00Z</dcterms:modified>
</cp:coreProperties>
</file>