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0622C0" w:rsidRPr="00FB03E7">
        <w:rPr>
          <w:sz w:val="28"/>
          <w:szCs w:val="28"/>
          <w:lang w:val="uk-UA"/>
        </w:rPr>
        <w:t xml:space="preserve">24 </w:t>
      </w:r>
      <w:proofErr w:type="gramStart"/>
      <w:r w:rsidR="000622C0" w:rsidRPr="00FB03E7">
        <w:rPr>
          <w:sz w:val="28"/>
          <w:szCs w:val="28"/>
          <w:lang w:val="uk-UA"/>
        </w:rPr>
        <w:t>лютого</w:t>
      </w:r>
      <w:proofErr w:type="gramEnd"/>
      <w:r w:rsidR="000622C0" w:rsidRPr="00FB03E7">
        <w:rPr>
          <w:sz w:val="28"/>
          <w:szCs w:val="28"/>
          <w:lang w:val="uk-UA"/>
        </w:rPr>
        <w:t xml:space="preserve"> 2021</w:t>
      </w:r>
      <w:r w:rsidR="00CC4673" w:rsidRPr="00FB03E7">
        <w:rPr>
          <w:sz w:val="28"/>
          <w:szCs w:val="28"/>
          <w:lang w:val="uk-UA"/>
        </w:rPr>
        <w:t xml:space="preserve"> 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 w:rsidR="000622C0" w:rsidRPr="00FB03E7">
        <w:rPr>
          <w:sz w:val="28"/>
          <w:szCs w:val="28"/>
          <w:lang w:val="uk-UA"/>
        </w:rPr>
        <w:t xml:space="preserve">248 </w:t>
      </w:r>
      <w:r w:rsidRPr="00FB03E7">
        <w:rPr>
          <w:sz w:val="28"/>
          <w:szCs w:val="28"/>
          <w:lang w:val="uk-UA"/>
        </w:rPr>
        <w:t>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C87F44" w:rsidP="00492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Пресвятої Діви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7E2268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6B64DD">
              <w:rPr>
                <w:sz w:val="28"/>
                <w:szCs w:val="28"/>
                <w:lang w:val="uk-UA"/>
              </w:rPr>
              <w:t>55462</w:t>
            </w:r>
            <w:r w:rsidR="007E2268">
              <w:rPr>
                <w:sz w:val="28"/>
                <w:szCs w:val="28"/>
                <w:lang w:val="uk-UA"/>
              </w:rPr>
              <w:t>4,3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="00364F0F">
              <w:rPr>
                <w:sz w:val="28"/>
                <w:szCs w:val="28"/>
                <w:lang w:val="uk-UA"/>
              </w:rPr>
              <w:t xml:space="preserve">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185884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185884">
              <w:rPr>
                <w:sz w:val="28"/>
                <w:szCs w:val="28"/>
                <w:lang w:val="uk-UA"/>
              </w:rPr>
              <w:t>291091,8</w:t>
            </w:r>
            <w:r w:rsidR="00364F0F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7E2268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6B64DD">
              <w:rPr>
                <w:sz w:val="28"/>
                <w:szCs w:val="28"/>
                <w:lang w:val="uk-UA"/>
              </w:rPr>
              <w:t>17567</w:t>
            </w:r>
            <w:r w:rsidR="007E2268">
              <w:rPr>
                <w:sz w:val="28"/>
                <w:szCs w:val="28"/>
                <w:lang w:val="uk-UA"/>
              </w:rPr>
              <w:t>1,7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6B64DD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55462</w:t>
            </w:r>
            <w:r w:rsidR="007E2268">
              <w:rPr>
                <w:b/>
                <w:szCs w:val="28"/>
                <w:lang w:val="uk-UA"/>
              </w:rPr>
              <w:t>4</w:t>
            </w:r>
            <w:r>
              <w:rPr>
                <w:b/>
                <w:szCs w:val="28"/>
                <w:lang w:val="uk-UA"/>
              </w:rPr>
              <w:t>,</w:t>
            </w:r>
            <w:r w:rsidR="007E2268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185884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6B64DD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17567</w:t>
            </w:r>
            <w:r w:rsidR="007E2268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,</w:t>
            </w:r>
            <w:r w:rsidR="007E2268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502ECF" w:rsidP="00BE398B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261216,4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185884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</w:t>
            </w:r>
            <w:r w:rsidR="00185884">
              <w:rPr>
                <w:szCs w:val="32"/>
                <w:lang w:val="uk-UA"/>
              </w:rPr>
              <w:t>866</w:t>
            </w:r>
            <w:r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69874,3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6B64DD" w:rsidP="007E226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21495</w:t>
            </w:r>
            <w:r w:rsidR="007E2268">
              <w:rPr>
                <w:bCs/>
                <w:szCs w:val="32"/>
                <w:lang w:val="uk-UA"/>
              </w:rPr>
              <w:t>8</w:t>
            </w:r>
            <w:r>
              <w:rPr>
                <w:bCs/>
                <w:szCs w:val="32"/>
                <w:lang w:val="uk-UA"/>
              </w:rPr>
              <w:t>,</w:t>
            </w:r>
            <w:r w:rsidR="007E2268">
              <w:rPr>
                <w:bCs/>
                <w:szCs w:val="32"/>
                <w:lang w:val="uk-U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6B64DD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9812</w:t>
            </w:r>
            <w:r w:rsidR="007E2268">
              <w:rPr>
                <w:szCs w:val="32"/>
                <w:lang w:val="uk-UA"/>
              </w:rPr>
              <w:t>6</w:t>
            </w:r>
            <w:r>
              <w:rPr>
                <w:szCs w:val="32"/>
                <w:lang w:val="uk-UA"/>
              </w:rPr>
              <w:t>,</w:t>
            </w:r>
            <w:r w:rsidR="007E2268">
              <w:rPr>
                <w:szCs w:val="32"/>
                <w:lang w:val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EA39C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14282,9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A39C6" w:rsidRDefault="00EA39C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7670,8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75" w:rsidRDefault="00D55375">
      <w:r>
        <w:separator/>
      </w:r>
    </w:p>
  </w:endnote>
  <w:endnote w:type="continuationSeparator" w:id="0">
    <w:p w:rsidR="00D55375" w:rsidRDefault="00D5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75" w:rsidRDefault="00D55375">
      <w:r>
        <w:separator/>
      </w:r>
    </w:p>
  </w:footnote>
  <w:footnote w:type="continuationSeparator" w:id="0">
    <w:p w:rsidR="00D55375" w:rsidRDefault="00D55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A4731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B64DD"/>
    <w:rsid w:val="006C2F0C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64F7"/>
    <w:rsid w:val="007F6F54"/>
    <w:rsid w:val="00816581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82F0F"/>
    <w:rsid w:val="00C87F4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73C36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72E4-D508-4FAB-A4CD-018E50A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39</cp:revision>
  <cp:lastPrinted>2021-02-26T11:56:00Z</cp:lastPrinted>
  <dcterms:created xsi:type="dcterms:W3CDTF">2020-09-16T07:55:00Z</dcterms:created>
  <dcterms:modified xsi:type="dcterms:W3CDTF">2021-02-26T11:57:00Z</dcterms:modified>
</cp:coreProperties>
</file>