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C20CF">
        <w:rPr>
          <w:sz w:val="28"/>
          <w:szCs w:val="28"/>
          <w:lang w:val="en-US"/>
        </w:rPr>
        <w:t>LXXVIII</w:t>
      </w:r>
      <w:r w:rsidR="00FC20CF" w:rsidRPr="00FC20CF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C20CF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FC20CF">
        <w:rPr>
          <w:sz w:val="28"/>
          <w:szCs w:val="28"/>
          <w:lang w:val="uk-UA"/>
        </w:rPr>
        <w:t>7139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0524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</w:t>
            </w:r>
            <w:r w:rsidR="00DC0ACA">
              <w:rPr>
                <w:sz w:val="28"/>
                <w:szCs w:val="28"/>
                <w:lang w:val="uk-UA"/>
              </w:rPr>
              <w:t>н</w:t>
            </w:r>
            <w:r w:rsidR="0080524C">
              <w:rPr>
                <w:sz w:val="28"/>
                <w:szCs w:val="28"/>
                <w:lang w:val="uk-UA"/>
              </w:rPr>
              <w:t>ої</w:t>
            </w:r>
            <w:r w:rsidR="001B1246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 ділянк</w:t>
            </w:r>
            <w:r w:rsidR="0080524C">
              <w:rPr>
                <w:sz w:val="28"/>
                <w:szCs w:val="28"/>
                <w:lang w:val="uk-UA"/>
              </w:rPr>
              <w:t>и</w:t>
            </w:r>
            <w:r w:rsidR="001B1246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C0AC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C0ACA">
              <w:rPr>
                <w:sz w:val="28"/>
                <w:szCs w:val="28"/>
                <w:lang w:val="uk-UA"/>
              </w:rPr>
              <w:t>Піщанська</w:t>
            </w:r>
            <w:proofErr w:type="spellEnd"/>
            <w:r w:rsidR="00DC0ACA">
              <w:rPr>
                <w:sz w:val="28"/>
                <w:szCs w:val="28"/>
                <w:lang w:val="uk-UA"/>
              </w:rPr>
              <w:t>, навпроти буд. 40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80524C" w:rsidRDefault="0080524C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80524C">
        <w:rPr>
          <w:sz w:val="28"/>
          <w:szCs w:val="28"/>
          <w:lang w:val="uk-UA"/>
        </w:rPr>
        <w:t xml:space="preserve"> (протокол від 18.06.2020 № 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6338EC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DC0ACA">
        <w:rPr>
          <w:sz w:val="28"/>
          <w:szCs w:val="28"/>
          <w:lang w:val="uk-UA"/>
        </w:rPr>
        <w:t>у</w:t>
      </w:r>
      <w:r w:rsidR="00305AB3">
        <w:rPr>
          <w:sz w:val="28"/>
          <w:szCs w:val="28"/>
          <w:lang w:val="uk-UA"/>
        </w:rPr>
        <w:t xml:space="preserve"> ділянк</w:t>
      </w:r>
      <w:r w:rsidR="00DC0ACA">
        <w:rPr>
          <w:sz w:val="28"/>
          <w:szCs w:val="28"/>
          <w:lang w:val="uk-UA"/>
        </w:rPr>
        <w:t>у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DC0AC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DC0A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32740F">
        <w:rPr>
          <w:sz w:val="28"/>
          <w:szCs w:val="28"/>
          <w:lang w:val="uk-UA"/>
        </w:rPr>
        <w:t>ої</w:t>
      </w:r>
      <w:r w:rsidR="00E0326B">
        <w:rPr>
          <w:sz w:val="28"/>
          <w:szCs w:val="28"/>
          <w:lang w:val="uk-UA"/>
        </w:rPr>
        <w:t xml:space="preserve"> ділянк</w:t>
      </w:r>
      <w:r w:rsidR="0032740F">
        <w:rPr>
          <w:sz w:val="28"/>
          <w:szCs w:val="28"/>
          <w:lang w:val="uk-UA"/>
        </w:rPr>
        <w:t>и</w:t>
      </w:r>
      <w:r w:rsidR="00E0326B">
        <w:rPr>
          <w:sz w:val="28"/>
          <w:szCs w:val="28"/>
          <w:lang w:val="uk-UA"/>
        </w:rPr>
        <w:t xml:space="preserve"> </w:t>
      </w:r>
      <w:r w:rsidR="009A040B">
        <w:rPr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  за адресою: м. Суми</w:t>
      </w:r>
      <w:r w:rsidR="0032740F" w:rsidRPr="0032740F">
        <w:rPr>
          <w:sz w:val="28"/>
          <w:szCs w:val="28"/>
          <w:lang w:val="uk-UA"/>
        </w:rPr>
        <w:t xml:space="preserve"> </w:t>
      </w:r>
      <w:r w:rsidR="0032740F">
        <w:rPr>
          <w:sz w:val="28"/>
          <w:szCs w:val="28"/>
          <w:lang w:val="uk-UA"/>
        </w:rPr>
        <w:t xml:space="preserve">вул. </w:t>
      </w:r>
      <w:proofErr w:type="spellStart"/>
      <w:r w:rsidR="0032740F">
        <w:rPr>
          <w:sz w:val="28"/>
          <w:szCs w:val="28"/>
          <w:lang w:val="uk-UA"/>
        </w:rPr>
        <w:t>Піщанська</w:t>
      </w:r>
      <w:proofErr w:type="spellEnd"/>
      <w:r w:rsidR="0032740F">
        <w:rPr>
          <w:sz w:val="28"/>
          <w:szCs w:val="28"/>
          <w:lang w:val="uk-UA"/>
        </w:rPr>
        <w:t>, навпроти буд. 40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C20CF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C20CF">
        <w:rPr>
          <w:sz w:val="28"/>
          <w:szCs w:val="28"/>
          <w:lang w:val="uk-UA"/>
        </w:rPr>
        <w:t>7139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2" w:type="pct"/>
        <w:tblLayout w:type="fixed"/>
        <w:tblLook w:val="0000" w:firstRow="0" w:lastRow="0" w:firstColumn="0" w:lastColumn="0" w:noHBand="0" w:noVBand="0"/>
      </w:tblPr>
      <w:tblGrid>
        <w:gridCol w:w="563"/>
        <w:gridCol w:w="3236"/>
        <w:gridCol w:w="4560"/>
        <w:gridCol w:w="1707"/>
        <w:gridCol w:w="2780"/>
        <w:gridCol w:w="1892"/>
      </w:tblGrid>
      <w:tr w:rsidR="0080524C" w:rsidRPr="004F580C" w:rsidTr="00FC20CF">
        <w:trPr>
          <w:cantSplit/>
          <w:trHeight w:val="24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DB3632" w:rsidRDefault="0080524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0524C" w:rsidRPr="00DB3632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0524C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0524C" w:rsidRPr="004F580C" w:rsidTr="00FC20CF">
        <w:trPr>
          <w:cantSplit/>
          <w:trHeight w:val="3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0524C" w:rsidRPr="00D61391" w:rsidTr="00FC20CF">
        <w:trPr>
          <w:cantSplit/>
          <w:trHeight w:val="1975"/>
        </w:trPr>
        <w:tc>
          <w:tcPr>
            <w:tcW w:w="191" w:type="pct"/>
            <w:shd w:val="clear" w:color="auto" w:fill="auto"/>
          </w:tcPr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8" w:type="pct"/>
            <w:shd w:val="clear" w:color="auto" w:fill="auto"/>
          </w:tcPr>
          <w:p w:rsidR="0080524C" w:rsidRDefault="0080524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0524C" w:rsidRDefault="0080524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0524C" w:rsidRPr="005E59E5" w:rsidRDefault="0080524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7" w:type="pct"/>
            <w:shd w:val="clear" w:color="auto" w:fill="auto"/>
          </w:tcPr>
          <w:p w:rsidR="0080524C" w:rsidRPr="00A14F2C" w:rsidRDefault="0080524C" w:rsidP="006819AE">
            <w:pPr>
              <w:rPr>
                <w:sz w:val="28"/>
                <w:szCs w:val="28"/>
                <w:lang w:val="uk-UA"/>
              </w:rPr>
            </w:pPr>
            <w:r w:rsidRPr="00A14F2C">
              <w:rPr>
                <w:sz w:val="28"/>
                <w:szCs w:val="28"/>
                <w:lang w:val="uk-UA"/>
              </w:rPr>
              <w:t>Під трансформаторною підстанцією КТП-583»,</w:t>
            </w:r>
          </w:p>
          <w:p w:rsidR="0080524C" w:rsidRPr="00A14F2C" w:rsidRDefault="0080524C" w:rsidP="006819AE">
            <w:pPr>
              <w:rPr>
                <w:sz w:val="28"/>
                <w:szCs w:val="28"/>
                <w:lang w:val="uk-UA"/>
              </w:rPr>
            </w:pPr>
            <w:r w:rsidRPr="00A14F2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14F2C">
              <w:rPr>
                <w:sz w:val="28"/>
                <w:szCs w:val="28"/>
                <w:lang w:val="uk-UA"/>
              </w:rPr>
              <w:t>Піщанська</w:t>
            </w:r>
            <w:proofErr w:type="spellEnd"/>
            <w:r w:rsidRPr="00A14F2C">
              <w:rPr>
                <w:sz w:val="28"/>
                <w:szCs w:val="28"/>
                <w:lang w:val="uk-UA"/>
              </w:rPr>
              <w:t>, навпроти буд. 40</w:t>
            </w:r>
          </w:p>
          <w:p w:rsidR="0080524C" w:rsidRPr="00A14F2C" w:rsidRDefault="00ED5257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A14F2C">
              <w:rPr>
                <w:sz w:val="28"/>
                <w:szCs w:val="28"/>
                <w:lang w:val="uk-UA"/>
              </w:rPr>
              <w:t>5910136600:08:018:1000</w:t>
            </w:r>
          </w:p>
          <w:p w:rsidR="0080524C" w:rsidRPr="00A14F2C" w:rsidRDefault="0080524C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shd w:val="clear" w:color="auto" w:fill="auto"/>
          </w:tcPr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3" w:type="pct"/>
            <w:shd w:val="clear" w:color="auto" w:fill="auto"/>
          </w:tcPr>
          <w:p w:rsidR="0080524C" w:rsidRPr="000B674F" w:rsidRDefault="0080524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42" w:type="pct"/>
            <w:shd w:val="clear" w:color="auto" w:fill="auto"/>
          </w:tcPr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0524C">
        <w:rPr>
          <w:sz w:val="28"/>
          <w:szCs w:val="28"/>
          <w:lang w:val="uk-UA"/>
        </w:rPr>
        <w:tab/>
        <w:t xml:space="preserve">   </w:t>
      </w:r>
      <w:r w:rsidR="004E1687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FC20CF">
      <w:pgSz w:w="16838" w:h="11906" w:orient="landscape"/>
      <w:pgMar w:top="113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1246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2740F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1A60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338EC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524C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14F2C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66994"/>
    <w:rsid w:val="00B73B33"/>
    <w:rsid w:val="00B80572"/>
    <w:rsid w:val="00B8203F"/>
    <w:rsid w:val="00B8392B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C0ACA"/>
    <w:rsid w:val="00DD123B"/>
    <w:rsid w:val="00DD5AE9"/>
    <w:rsid w:val="00E0326B"/>
    <w:rsid w:val="00E062EE"/>
    <w:rsid w:val="00E24076"/>
    <w:rsid w:val="00E36F10"/>
    <w:rsid w:val="00E42FE7"/>
    <w:rsid w:val="00E5090C"/>
    <w:rsid w:val="00E61D3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D5257"/>
    <w:rsid w:val="00EE4A58"/>
    <w:rsid w:val="00EF3DBA"/>
    <w:rsid w:val="00EF584D"/>
    <w:rsid w:val="00F15225"/>
    <w:rsid w:val="00F33AEB"/>
    <w:rsid w:val="00F44427"/>
    <w:rsid w:val="00F51A67"/>
    <w:rsid w:val="00F637BF"/>
    <w:rsid w:val="00F71795"/>
    <w:rsid w:val="00F80FE0"/>
    <w:rsid w:val="00F87EEB"/>
    <w:rsid w:val="00FA4957"/>
    <w:rsid w:val="00FB3DB1"/>
    <w:rsid w:val="00FB41BF"/>
    <w:rsid w:val="00FC20C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4E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96D0A-96E7-4B11-99D6-258F6AC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2020-07-23T06:19:00Z</cp:lastPrinted>
  <dcterms:created xsi:type="dcterms:W3CDTF">2020-07-23T06:21:00Z</dcterms:created>
  <dcterms:modified xsi:type="dcterms:W3CDTF">2020-07-23T06:21:00Z</dcterms:modified>
</cp:coreProperties>
</file>