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2364"/>
        <w:gridCol w:w="1705"/>
        <w:gridCol w:w="971"/>
        <w:gridCol w:w="211"/>
        <w:gridCol w:w="1769"/>
        <w:gridCol w:w="2460"/>
        <w:gridCol w:w="99"/>
      </w:tblGrid>
      <w:tr w:rsidR="00C17C72" w:rsidRPr="00C17C72" w:rsidTr="0090282F">
        <w:trPr>
          <w:cantSplit/>
          <w:trHeight w:val="20"/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2A5488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720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tabs>
                <w:tab w:val="left" w:pos="1560"/>
              </w:tabs>
              <w:jc w:val="center"/>
              <w:rPr>
                <w:color w:val="000000"/>
                <w:sz w:val="36"/>
                <w:szCs w:val="36"/>
                <w:lang w:val="uk-UA" w:eastAsia="uk-UA"/>
              </w:rPr>
            </w:pPr>
            <w:r w:rsidRPr="00C17C72">
              <w:rPr>
                <w:color w:val="000000"/>
                <w:sz w:val="36"/>
                <w:szCs w:val="36"/>
                <w:lang w:val="uk-UA" w:eastAsia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9687" w:type="dxa"/>
            <w:gridSpan w:val="8"/>
            <w:shd w:val="clear" w:color="auto" w:fill="auto"/>
          </w:tcPr>
          <w:p w:rsidR="00C17C72" w:rsidRPr="00C17C72" w:rsidRDefault="00BE444A" w:rsidP="00BE444A">
            <w:pPr>
              <w:tabs>
                <w:tab w:val="left" w:pos="1560"/>
              </w:tabs>
              <w:jc w:val="center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VII</w:t>
            </w:r>
            <w:r w:rsidR="00C17C72" w:rsidRPr="00C17C72">
              <w:rPr>
                <w:sz w:val="28"/>
                <w:szCs w:val="28"/>
                <w:lang w:val="uk-UA" w:eastAsia="uk-UA"/>
              </w:rPr>
              <w:t xml:space="preserve"> СКЛИКАННЯ </w:t>
            </w:r>
            <w:r>
              <w:rPr>
                <w:sz w:val="28"/>
                <w:szCs w:val="28"/>
                <w:lang w:val="en-US" w:eastAsia="uk-UA"/>
              </w:rPr>
              <w:t>LXXXXIII</w:t>
            </w:r>
            <w:r w:rsidR="00C17C72" w:rsidRPr="00C17C72">
              <w:rPr>
                <w:sz w:val="28"/>
                <w:szCs w:val="28"/>
                <w:lang w:val="en-US" w:eastAsia="uk-UA"/>
              </w:rPr>
              <w:t xml:space="preserve">  </w:t>
            </w:r>
            <w:r w:rsidR="00C17C72" w:rsidRPr="00C17C72">
              <w:rPr>
                <w:sz w:val="28"/>
                <w:szCs w:val="28"/>
                <w:lang w:val="uk-UA" w:eastAsia="uk-UA"/>
              </w:rPr>
              <w:t>СЕСІЯ</w:t>
            </w:r>
          </w:p>
        </w:tc>
      </w:tr>
      <w:tr w:rsidR="00C17C72" w:rsidRPr="00C17C72" w:rsidTr="0090282F">
        <w:trPr>
          <w:jc w:val="center"/>
        </w:trPr>
        <w:tc>
          <w:tcPr>
            <w:tcW w:w="247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56" w:type="dxa"/>
            <w:gridSpan w:val="4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32"/>
                <w:szCs w:val="32"/>
                <w:lang w:val="uk-UA" w:eastAsia="uk-UA"/>
              </w:rPr>
            </w:pPr>
            <w:r w:rsidRPr="00C17C72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rPr>
          <w:jc w:val="center"/>
        </w:trPr>
        <w:tc>
          <w:tcPr>
            <w:tcW w:w="4177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580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CD5C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BE444A" w:rsidRPr="00BE444A">
              <w:rPr>
                <w:bCs/>
                <w:color w:val="000000"/>
                <w:sz w:val="28"/>
                <w:szCs w:val="28"/>
                <w:lang w:eastAsia="uk-UA"/>
              </w:rPr>
              <w:t xml:space="preserve">21 </w:t>
            </w:r>
            <w:r w:rsidR="00BE444A">
              <w:rPr>
                <w:bCs/>
                <w:color w:val="000000"/>
                <w:sz w:val="28"/>
                <w:szCs w:val="28"/>
                <w:lang w:val="uk-UA" w:eastAsia="uk-UA"/>
              </w:rPr>
              <w:t>жовтня</w:t>
            </w:r>
            <w:r w:rsidR="00CD5C1C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2020 </w:t>
            </w: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>року №</w:t>
            </w:r>
            <w:r w:rsidR="00CD5C1C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bookmarkStart w:id="0" w:name="_GoBack"/>
            <w:bookmarkEnd w:id="0"/>
            <w:r w:rsidR="00BE444A">
              <w:rPr>
                <w:bCs/>
                <w:color w:val="000000"/>
                <w:sz w:val="28"/>
                <w:szCs w:val="28"/>
                <w:lang w:val="uk-UA" w:eastAsia="uk-UA"/>
              </w:rPr>
              <w:t>7550</w:t>
            </w:r>
            <w:r w:rsidRPr="00C17C72">
              <w:rPr>
                <w:bCs/>
                <w:color w:val="000000"/>
                <w:sz w:val="28"/>
                <w:szCs w:val="28"/>
                <w:lang w:val="uk-UA" w:eastAsia="uk-UA"/>
              </w:rPr>
              <w:t>-МР              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84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C17C72" w:rsidRPr="00C17C72" w:rsidTr="0090282F">
        <w:tblPrEx>
          <w:jc w:val="left"/>
        </w:tblPrEx>
        <w:trPr>
          <w:gridBefore w:val="1"/>
          <w:gridAfter w:val="1"/>
          <w:wBefore w:w="108" w:type="dxa"/>
          <w:wAfter w:w="99" w:type="dxa"/>
          <w:trHeight w:val="1719"/>
        </w:trPr>
        <w:tc>
          <w:tcPr>
            <w:tcW w:w="5040" w:type="dxa"/>
            <w:gridSpan w:val="3"/>
            <w:shd w:val="clear" w:color="auto" w:fill="auto"/>
          </w:tcPr>
          <w:p w:rsidR="00C17C72" w:rsidRPr="00C17C72" w:rsidRDefault="00C17C72" w:rsidP="000158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C17C72">
              <w:rPr>
                <w:color w:val="000000"/>
                <w:sz w:val="28"/>
                <w:szCs w:val="28"/>
                <w:lang w:val="uk-UA" w:eastAsia="uk-UA"/>
              </w:rPr>
              <w:t>Про внесення змін до рішення Сумської міської ради від 19 грудня 2018 року         № 4332-МР «Про міську цільову Програму захисту населення і територі</w:t>
            </w:r>
            <w:r w:rsidR="000158CF">
              <w:rPr>
                <w:color w:val="000000"/>
                <w:sz w:val="28"/>
                <w:szCs w:val="28"/>
                <w:lang w:val="uk-UA" w:eastAsia="uk-UA"/>
              </w:rPr>
              <w:t>ї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м. Суми від надзвичайних ситуацій техногенного та природного характеру на 2019-202</w:t>
            </w:r>
            <w:r w:rsidR="00391A9D"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Pr="00C17C72">
              <w:rPr>
                <w:color w:val="000000"/>
                <w:sz w:val="28"/>
                <w:szCs w:val="28"/>
                <w:lang w:val="uk-UA" w:eastAsia="uk-UA"/>
              </w:rPr>
              <w:t xml:space="preserve"> роки» (зі змінами)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C17C72" w:rsidRPr="00C17C72" w:rsidRDefault="00C17C72" w:rsidP="00C17C7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DA63CD" w:rsidRPr="007E3733" w:rsidRDefault="00DA63CD" w:rsidP="00C17C72">
      <w:pPr>
        <w:jc w:val="center"/>
        <w:rPr>
          <w:sz w:val="28"/>
          <w:szCs w:val="28"/>
          <w:lang w:val="uk-UA"/>
        </w:rPr>
      </w:pPr>
    </w:p>
    <w:p w:rsidR="00D2010C" w:rsidRPr="00192C8B" w:rsidRDefault="00F639BB" w:rsidP="00F639BB">
      <w:pPr>
        <w:ind w:firstLine="708"/>
        <w:jc w:val="both"/>
        <w:rPr>
          <w:sz w:val="28"/>
          <w:szCs w:val="28"/>
          <w:lang w:val="uk-UA"/>
        </w:rPr>
      </w:pPr>
      <w:r w:rsidRPr="00192C8B">
        <w:rPr>
          <w:sz w:val="28"/>
          <w:szCs w:val="28"/>
          <w:lang w:val="uk-UA"/>
        </w:rPr>
        <w:t xml:space="preserve">Ураховуючи рішення Сумської міської ради від 24 квітня 2019 року                     № 4989-МР «Про добровільне приєднання територіальних громад сіл Піщане, Верхнє Піщане, </w:t>
      </w:r>
      <w:proofErr w:type="spellStart"/>
      <w:r w:rsidRPr="00192C8B">
        <w:rPr>
          <w:sz w:val="28"/>
          <w:szCs w:val="28"/>
          <w:lang w:val="uk-UA"/>
        </w:rPr>
        <w:t>Загірське</w:t>
      </w:r>
      <w:proofErr w:type="spellEnd"/>
      <w:r w:rsidRPr="00192C8B">
        <w:rPr>
          <w:sz w:val="28"/>
          <w:szCs w:val="28"/>
          <w:lang w:val="uk-UA"/>
        </w:rPr>
        <w:t xml:space="preserve">, </w:t>
      </w:r>
      <w:proofErr w:type="spellStart"/>
      <w:r w:rsidRPr="00192C8B">
        <w:rPr>
          <w:sz w:val="28"/>
          <w:szCs w:val="28"/>
          <w:lang w:val="uk-UA"/>
        </w:rPr>
        <w:t>Трохименкове</w:t>
      </w:r>
      <w:proofErr w:type="spellEnd"/>
      <w:r w:rsidRPr="00192C8B">
        <w:rPr>
          <w:sz w:val="28"/>
          <w:szCs w:val="28"/>
          <w:lang w:val="uk-UA"/>
        </w:rPr>
        <w:t xml:space="preserve">, Житейське, </w:t>
      </w:r>
      <w:proofErr w:type="spellStart"/>
      <w:r w:rsidRPr="00192C8B">
        <w:rPr>
          <w:sz w:val="28"/>
          <w:szCs w:val="28"/>
          <w:lang w:val="uk-UA"/>
        </w:rPr>
        <w:t>Кирияківщина</w:t>
      </w:r>
      <w:proofErr w:type="spellEnd"/>
      <w:r w:rsidRPr="00192C8B">
        <w:rPr>
          <w:sz w:val="28"/>
          <w:szCs w:val="28"/>
          <w:lang w:val="uk-UA"/>
        </w:rPr>
        <w:t xml:space="preserve"> </w:t>
      </w:r>
      <w:proofErr w:type="spellStart"/>
      <w:r w:rsidRPr="00192C8B">
        <w:rPr>
          <w:sz w:val="28"/>
          <w:szCs w:val="28"/>
          <w:lang w:val="uk-UA"/>
        </w:rPr>
        <w:t>Піщанської</w:t>
      </w:r>
      <w:proofErr w:type="spellEnd"/>
      <w:r w:rsidRPr="00192C8B">
        <w:rPr>
          <w:sz w:val="28"/>
          <w:szCs w:val="28"/>
          <w:lang w:val="uk-UA"/>
        </w:rPr>
        <w:t xml:space="preserve"> сільської ради </w:t>
      </w:r>
      <w:proofErr w:type="spellStart"/>
      <w:r w:rsidRPr="00192C8B">
        <w:rPr>
          <w:sz w:val="28"/>
          <w:szCs w:val="28"/>
          <w:lang w:val="uk-UA"/>
        </w:rPr>
        <w:t>Ковпаківс</w:t>
      </w:r>
      <w:r w:rsidR="00391A9D" w:rsidRPr="00192C8B">
        <w:rPr>
          <w:sz w:val="28"/>
          <w:szCs w:val="28"/>
          <w:lang w:val="uk-UA"/>
        </w:rPr>
        <w:t>ького</w:t>
      </w:r>
      <w:proofErr w:type="spellEnd"/>
      <w:r w:rsidR="00391A9D" w:rsidRPr="00192C8B">
        <w:rPr>
          <w:sz w:val="28"/>
          <w:szCs w:val="28"/>
          <w:lang w:val="uk-UA"/>
        </w:rPr>
        <w:t xml:space="preserve"> </w:t>
      </w:r>
      <w:r w:rsidR="00F96C5E" w:rsidRPr="00192C8B">
        <w:rPr>
          <w:sz w:val="28"/>
          <w:szCs w:val="28"/>
          <w:lang w:val="uk-UA"/>
        </w:rPr>
        <w:t>району м. Суми до територіальної громади міста Суми Сумської міської ради»,</w:t>
      </w:r>
      <w:r w:rsidR="00391A9D" w:rsidRPr="00192C8B">
        <w:rPr>
          <w:sz w:val="28"/>
          <w:szCs w:val="28"/>
          <w:lang w:val="uk-UA"/>
        </w:rPr>
        <w:t xml:space="preserve"> </w:t>
      </w:r>
      <w:r w:rsidR="00DA63CD" w:rsidRPr="00192C8B">
        <w:rPr>
          <w:sz w:val="28"/>
          <w:szCs w:val="28"/>
          <w:lang w:val="uk-UA"/>
        </w:rPr>
        <w:t xml:space="preserve">керуючись </w:t>
      </w:r>
      <w:r w:rsidRPr="00192C8B">
        <w:rPr>
          <w:sz w:val="28"/>
          <w:szCs w:val="28"/>
          <w:lang w:val="uk-UA"/>
        </w:rPr>
        <w:t xml:space="preserve">статтею 25 </w:t>
      </w:r>
      <w:r w:rsidR="00DA63CD" w:rsidRPr="00192C8B">
        <w:rPr>
          <w:sz w:val="28"/>
          <w:szCs w:val="28"/>
          <w:lang w:val="uk-UA"/>
        </w:rPr>
        <w:t xml:space="preserve">Закону України «Про місцеве самоврядування в Україні» </w:t>
      </w:r>
      <w:r w:rsidR="00DA63CD" w:rsidRPr="00192C8B">
        <w:rPr>
          <w:b/>
          <w:sz w:val="28"/>
          <w:szCs w:val="28"/>
          <w:lang w:val="uk-UA"/>
        </w:rPr>
        <w:t>Сумська міська рада</w:t>
      </w:r>
    </w:p>
    <w:p w:rsidR="005B00CD" w:rsidRPr="00192C8B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192C8B" w:rsidRDefault="00DA63CD" w:rsidP="00DA63CD">
      <w:pPr>
        <w:jc w:val="center"/>
        <w:rPr>
          <w:b/>
          <w:sz w:val="28"/>
          <w:szCs w:val="28"/>
          <w:lang w:val="uk-UA"/>
        </w:rPr>
      </w:pPr>
      <w:r w:rsidRPr="00192C8B">
        <w:rPr>
          <w:b/>
          <w:sz w:val="28"/>
          <w:szCs w:val="28"/>
          <w:lang w:val="uk-UA"/>
        </w:rPr>
        <w:t>ВИРІШИЛА:</w:t>
      </w:r>
    </w:p>
    <w:p w:rsidR="00D2010C" w:rsidRPr="00192C8B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192C8B" w:rsidRDefault="003B26E5" w:rsidP="000E491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92C8B">
        <w:rPr>
          <w:sz w:val="28"/>
          <w:szCs w:val="28"/>
          <w:lang w:val="uk-UA"/>
        </w:rPr>
        <w:t>У</w:t>
      </w:r>
      <w:r w:rsidR="000E4917" w:rsidRPr="00192C8B">
        <w:rPr>
          <w:sz w:val="28"/>
          <w:szCs w:val="28"/>
          <w:lang w:val="uk-UA"/>
        </w:rPr>
        <w:t>нести</w:t>
      </w:r>
      <w:proofErr w:type="spellEnd"/>
      <w:r w:rsidR="000E4917" w:rsidRPr="00192C8B">
        <w:rPr>
          <w:sz w:val="28"/>
          <w:szCs w:val="28"/>
          <w:lang w:val="uk-UA"/>
        </w:rPr>
        <w:t xml:space="preserve"> зміни до рішення Сумської міської ради від 19 грудня</w:t>
      </w:r>
      <w:r w:rsidR="00320BE6" w:rsidRPr="00192C8B">
        <w:rPr>
          <w:sz w:val="28"/>
          <w:szCs w:val="28"/>
          <w:lang w:val="uk-UA"/>
        </w:rPr>
        <w:t xml:space="preserve">                          </w:t>
      </w:r>
      <w:r w:rsidR="000E4917" w:rsidRPr="00192C8B">
        <w:rPr>
          <w:sz w:val="28"/>
          <w:szCs w:val="28"/>
          <w:lang w:val="uk-UA"/>
        </w:rPr>
        <w:t xml:space="preserve"> 2018 року № 4332-МР «Про</w:t>
      </w:r>
      <w:r w:rsidR="00801CD5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>міську цільову</w:t>
      </w:r>
      <w:r w:rsidR="00801CD5" w:rsidRPr="00192C8B">
        <w:rPr>
          <w:sz w:val="28"/>
          <w:szCs w:val="28"/>
          <w:lang w:val="uk-UA"/>
        </w:rPr>
        <w:t xml:space="preserve"> </w:t>
      </w:r>
      <w:r w:rsidR="000E4917" w:rsidRPr="00192C8B">
        <w:rPr>
          <w:sz w:val="28"/>
          <w:szCs w:val="28"/>
          <w:lang w:val="uk-UA"/>
        </w:rPr>
        <w:t xml:space="preserve">Програму захисту населення і території </w:t>
      </w:r>
      <w:r w:rsidR="001655F0" w:rsidRPr="00192C8B">
        <w:rPr>
          <w:sz w:val="28"/>
          <w:szCs w:val="28"/>
          <w:lang w:val="uk-UA"/>
        </w:rPr>
        <w:t xml:space="preserve"> м. Суми </w:t>
      </w:r>
      <w:r w:rsidR="000E4917" w:rsidRPr="00192C8B">
        <w:rPr>
          <w:sz w:val="28"/>
          <w:szCs w:val="28"/>
          <w:lang w:val="uk-UA"/>
        </w:rPr>
        <w:t xml:space="preserve">від надзвичайних </w:t>
      </w:r>
      <w:r w:rsidR="00801CD5" w:rsidRPr="00192C8B">
        <w:rPr>
          <w:sz w:val="28"/>
          <w:szCs w:val="28"/>
          <w:lang w:val="uk-UA"/>
        </w:rPr>
        <w:t xml:space="preserve">ситуацій </w:t>
      </w:r>
      <w:r w:rsidR="000E4917" w:rsidRPr="00192C8B">
        <w:rPr>
          <w:sz w:val="28"/>
          <w:szCs w:val="28"/>
          <w:lang w:val="uk-UA"/>
        </w:rPr>
        <w:t>техногенного та природного характеру на 2019-</w:t>
      </w:r>
      <w:r w:rsidR="00653FF6" w:rsidRPr="00192C8B">
        <w:rPr>
          <w:sz w:val="28"/>
          <w:szCs w:val="28"/>
          <w:lang w:val="uk-UA"/>
        </w:rPr>
        <w:t>2021 роки» (зі змінами), а саме</w:t>
      </w:r>
      <w:r w:rsidR="000E4917" w:rsidRPr="00192C8B">
        <w:rPr>
          <w:sz w:val="28"/>
          <w:szCs w:val="28"/>
          <w:lang w:val="uk-UA"/>
        </w:rPr>
        <w:t xml:space="preserve">: </w:t>
      </w:r>
    </w:p>
    <w:p w:rsidR="00653FF6" w:rsidRPr="00192C8B" w:rsidRDefault="00F639BB" w:rsidP="00F639BB">
      <w:pPr>
        <w:ind w:firstLine="709"/>
        <w:jc w:val="both"/>
        <w:rPr>
          <w:sz w:val="28"/>
          <w:szCs w:val="28"/>
          <w:lang w:val="uk-UA" w:eastAsia="uk-UA"/>
        </w:rPr>
      </w:pPr>
      <w:r w:rsidRPr="00192C8B">
        <w:rPr>
          <w:sz w:val="28"/>
          <w:szCs w:val="28"/>
          <w:lang w:val="uk-UA"/>
        </w:rPr>
        <w:t xml:space="preserve">1. </w:t>
      </w:r>
      <w:r w:rsidR="00653FF6" w:rsidRPr="00192C8B">
        <w:rPr>
          <w:sz w:val="28"/>
          <w:szCs w:val="28"/>
          <w:lang w:val="uk-UA" w:eastAsia="uk-UA"/>
        </w:rPr>
        <w:t>У</w:t>
      </w:r>
      <w:r w:rsidRPr="00192C8B">
        <w:rPr>
          <w:sz w:val="28"/>
          <w:szCs w:val="28"/>
          <w:lang w:val="uk-UA" w:eastAsia="uk-UA"/>
        </w:rPr>
        <w:t xml:space="preserve"> назві і тексті рішення слова «міська цільова Програма захисту населення і територі</w:t>
      </w:r>
      <w:r w:rsidR="000158CF">
        <w:rPr>
          <w:sz w:val="28"/>
          <w:szCs w:val="28"/>
          <w:lang w:val="uk-UA" w:eastAsia="uk-UA"/>
        </w:rPr>
        <w:t>ї</w:t>
      </w:r>
      <w:r w:rsidRPr="00192C8B">
        <w:rPr>
          <w:sz w:val="28"/>
          <w:szCs w:val="28"/>
          <w:lang w:val="uk-UA" w:eastAsia="uk-UA"/>
        </w:rPr>
        <w:t xml:space="preserve"> м. Суми» у всіх відмінках замінити словами «цільова Програма захисту населення і територі</w:t>
      </w:r>
      <w:r w:rsidR="000158CF">
        <w:rPr>
          <w:sz w:val="28"/>
          <w:szCs w:val="28"/>
          <w:lang w:val="uk-UA" w:eastAsia="uk-UA"/>
        </w:rPr>
        <w:t>ї</w:t>
      </w:r>
      <w:r w:rsidRPr="00192C8B">
        <w:rPr>
          <w:sz w:val="28"/>
          <w:szCs w:val="28"/>
          <w:lang w:val="uk-UA" w:eastAsia="uk-UA"/>
        </w:rPr>
        <w:t xml:space="preserve"> Сумської міської об’єднаної територіальної громади» у відповідному </w:t>
      </w:r>
      <w:r w:rsidR="00653FF6" w:rsidRPr="00192C8B">
        <w:rPr>
          <w:sz w:val="28"/>
          <w:szCs w:val="28"/>
          <w:lang w:val="uk-UA" w:eastAsia="uk-UA"/>
        </w:rPr>
        <w:t>відмінку</w:t>
      </w:r>
      <w:r w:rsidRPr="00192C8B">
        <w:rPr>
          <w:sz w:val="28"/>
          <w:szCs w:val="28"/>
          <w:lang w:val="uk-UA" w:eastAsia="uk-UA"/>
        </w:rPr>
        <w:t>.</w:t>
      </w:r>
    </w:p>
    <w:p w:rsidR="00DA63CD" w:rsidRPr="00587557" w:rsidRDefault="00DA63CD" w:rsidP="00495588">
      <w:pPr>
        <w:ind w:firstLine="360"/>
        <w:jc w:val="both"/>
        <w:rPr>
          <w:sz w:val="28"/>
          <w:szCs w:val="28"/>
          <w:lang w:val="uk-UA"/>
        </w:rPr>
      </w:pPr>
      <w:r w:rsidRPr="00192C8B">
        <w:rPr>
          <w:sz w:val="28"/>
          <w:szCs w:val="28"/>
          <w:lang w:val="uk-UA"/>
        </w:rPr>
        <w:t xml:space="preserve">   </w:t>
      </w:r>
      <w:r w:rsidR="00F52803" w:rsidRPr="00192C8B">
        <w:rPr>
          <w:sz w:val="28"/>
          <w:szCs w:val="28"/>
          <w:lang w:val="uk-UA"/>
        </w:rPr>
        <w:t xml:space="preserve"> </w:t>
      </w:r>
      <w:r w:rsidR="00132DDC" w:rsidRPr="00192C8B">
        <w:rPr>
          <w:sz w:val="28"/>
          <w:szCs w:val="28"/>
          <w:lang w:val="uk-UA"/>
        </w:rPr>
        <w:t>2</w:t>
      </w:r>
      <w:r w:rsidRPr="00192C8B">
        <w:rPr>
          <w:sz w:val="28"/>
          <w:szCs w:val="28"/>
          <w:lang w:val="uk-UA"/>
        </w:rPr>
        <w:t xml:space="preserve">. </w:t>
      </w:r>
      <w:r w:rsidR="00587557">
        <w:rPr>
          <w:sz w:val="28"/>
          <w:szCs w:val="28"/>
          <w:lang w:val="uk-UA"/>
        </w:rPr>
        <w:t>Додаток до рішення</w:t>
      </w:r>
      <w:r w:rsidR="001C12BC" w:rsidRPr="001C12BC">
        <w:rPr>
          <w:sz w:val="28"/>
          <w:szCs w:val="28"/>
          <w:lang w:val="uk-UA"/>
        </w:rPr>
        <w:t xml:space="preserve"> </w:t>
      </w:r>
      <w:r w:rsidR="001C12BC">
        <w:rPr>
          <w:sz w:val="28"/>
          <w:szCs w:val="28"/>
          <w:lang w:val="uk-UA"/>
        </w:rPr>
        <w:t>«</w:t>
      </w:r>
      <w:r w:rsidR="001C12BC">
        <w:rPr>
          <w:sz w:val="28"/>
          <w:szCs w:val="28"/>
          <w:lang w:val="uk-UA" w:eastAsia="uk-UA"/>
        </w:rPr>
        <w:t>Ц</w:t>
      </w:r>
      <w:r w:rsidR="001C12BC" w:rsidRPr="00192C8B">
        <w:rPr>
          <w:sz w:val="28"/>
          <w:szCs w:val="28"/>
          <w:lang w:val="uk-UA" w:eastAsia="uk-UA"/>
        </w:rPr>
        <w:t>ільова Програма захисту населення і територі</w:t>
      </w:r>
      <w:r w:rsidR="001C12BC">
        <w:rPr>
          <w:sz w:val="28"/>
          <w:szCs w:val="28"/>
          <w:lang w:val="uk-UA" w:eastAsia="uk-UA"/>
        </w:rPr>
        <w:t>ї</w:t>
      </w:r>
      <w:r w:rsidR="001C12BC" w:rsidRPr="00192C8B">
        <w:rPr>
          <w:sz w:val="28"/>
          <w:szCs w:val="28"/>
          <w:lang w:val="uk-UA" w:eastAsia="uk-UA"/>
        </w:rPr>
        <w:t xml:space="preserve"> </w:t>
      </w:r>
      <w:r w:rsidR="009F0EF4">
        <w:rPr>
          <w:sz w:val="28"/>
          <w:szCs w:val="28"/>
          <w:lang w:val="uk-UA" w:eastAsia="uk-UA"/>
        </w:rPr>
        <w:t>м. Суми</w:t>
      </w:r>
      <w:r w:rsidR="001C12BC">
        <w:rPr>
          <w:sz w:val="28"/>
          <w:szCs w:val="28"/>
          <w:lang w:val="uk-UA" w:eastAsia="uk-UA"/>
        </w:rPr>
        <w:t xml:space="preserve"> від надзвичайних ситуацій техногенного та природного характеру на 2019-2021 роки (далі- Програма)»</w:t>
      </w:r>
      <w:r w:rsidR="00587557">
        <w:rPr>
          <w:sz w:val="28"/>
          <w:szCs w:val="28"/>
          <w:lang w:val="uk-UA"/>
        </w:rPr>
        <w:t xml:space="preserve"> викласти </w:t>
      </w:r>
      <w:r w:rsidR="001C12BC">
        <w:rPr>
          <w:sz w:val="28"/>
          <w:szCs w:val="28"/>
          <w:lang w:val="uk-UA"/>
        </w:rPr>
        <w:t>у</w:t>
      </w:r>
      <w:r w:rsidR="00587557">
        <w:rPr>
          <w:sz w:val="28"/>
          <w:szCs w:val="28"/>
          <w:lang w:val="uk-UA"/>
        </w:rPr>
        <w:t xml:space="preserve"> новій редакції згідно з додатком до </w:t>
      </w:r>
      <w:r w:rsidR="001C12BC">
        <w:rPr>
          <w:sz w:val="28"/>
          <w:szCs w:val="28"/>
          <w:lang w:val="uk-UA"/>
        </w:rPr>
        <w:t>цього</w:t>
      </w:r>
      <w:r w:rsidR="00587557">
        <w:rPr>
          <w:sz w:val="28"/>
          <w:szCs w:val="28"/>
          <w:lang w:val="uk-UA"/>
        </w:rPr>
        <w:t xml:space="preserve"> рішення.</w:t>
      </w:r>
    </w:p>
    <w:p w:rsidR="00ED2F96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BE444A" w:rsidRPr="00682886" w:rsidRDefault="00BE444A" w:rsidP="00DA63CD">
      <w:pPr>
        <w:jc w:val="both"/>
        <w:rPr>
          <w:b/>
          <w:sz w:val="27"/>
          <w:szCs w:val="27"/>
          <w:lang w:val="uk-UA"/>
        </w:rPr>
      </w:pPr>
    </w:p>
    <w:p w:rsidR="00DA63CD" w:rsidRPr="00682886" w:rsidRDefault="00BE444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А.В. Баранов</w:t>
      </w:r>
    </w:p>
    <w:p w:rsidR="00ED2F96" w:rsidRDefault="00ED2F96" w:rsidP="0085245E">
      <w:pPr>
        <w:jc w:val="both"/>
        <w:rPr>
          <w:lang w:val="uk-UA"/>
        </w:rPr>
      </w:pPr>
    </w:p>
    <w:p w:rsidR="00BE444A" w:rsidRPr="00682886" w:rsidRDefault="00BE444A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BE444A" w:rsidRPr="00682886" w:rsidRDefault="00BE444A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913131" w:rsidRPr="00682886" w:rsidRDefault="00913131" w:rsidP="00132DDC">
      <w:pPr>
        <w:ind w:left="4068" w:firstLine="708"/>
        <w:rPr>
          <w:szCs w:val="28"/>
          <w:lang w:val="uk-UA"/>
        </w:rPr>
      </w:pPr>
      <w:r w:rsidRPr="00682886">
        <w:rPr>
          <w:szCs w:val="28"/>
          <w:lang w:val="uk-UA"/>
        </w:rPr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міську цільову  Програму захисту населення і території </w:t>
      </w:r>
      <w:r w:rsidR="00476475" w:rsidRPr="00682886">
        <w:rPr>
          <w:lang w:val="uk-UA"/>
        </w:rPr>
        <w:t xml:space="preserve">м. Суми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 xml:space="preserve">від  </w:t>
      </w:r>
      <w:r w:rsidR="00BE444A">
        <w:rPr>
          <w:lang w:val="uk-UA"/>
        </w:rPr>
        <w:t>21 жовтня 2020</w:t>
      </w:r>
      <w:r w:rsidR="001F4AA9">
        <w:rPr>
          <w:lang w:val="uk-UA"/>
        </w:rPr>
        <w:t xml:space="preserve"> </w:t>
      </w:r>
      <w:r w:rsidR="009D7221">
        <w:rPr>
          <w:lang w:val="uk-UA"/>
        </w:rPr>
        <w:t>року</w:t>
      </w:r>
      <w:r w:rsidR="003B19DC" w:rsidRPr="00682886">
        <w:rPr>
          <w:lang w:val="uk-UA"/>
        </w:rPr>
        <w:t xml:space="preserve"> </w:t>
      </w:r>
      <w:r w:rsidRPr="00682886">
        <w:rPr>
          <w:lang w:val="uk-UA"/>
        </w:rPr>
        <w:t xml:space="preserve"> № </w:t>
      </w:r>
      <w:r w:rsidR="00BE444A">
        <w:rPr>
          <w:lang w:val="uk-UA"/>
        </w:rPr>
        <w:t>7550</w:t>
      </w:r>
      <w:r w:rsidR="009D7221">
        <w:rPr>
          <w:lang w:val="uk-UA"/>
        </w:rPr>
        <w:t>-МР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3B26E5" w:rsidRDefault="003B26E5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A72E97">
        <w:rPr>
          <w:sz w:val="28"/>
          <w:szCs w:val="32"/>
          <w:lang w:val="uk-UA"/>
        </w:rPr>
        <w:t>далі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sz w:val="28"/>
          <w:szCs w:val="32"/>
          <w:lang w:val="uk-UA"/>
        </w:rPr>
        <w:t>-</w:t>
      </w:r>
      <w:r w:rsidR="000158CF">
        <w:rPr>
          <w:sz w:val="28"/>
          <w:szCs w:val="32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 xml:space="preserve"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</w:t>
      </w:r>
      <w:r w:rsidR="001F4AA9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A72E97">
        <w:rPr>
          <w:sz w:val="28"/>
          <w:szCs w:val="28"/>
          <w:lang w:val="uk-UA"/>
        </w:rPr>
        <w:t xml:space="preserve"> (далі – СМОТГ)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CD5C1C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</w:t>
            </w:r>
            <w:proofErr w:type="spellStart"/>
            <w:r w:rsidRPr="00682886">
              <w:t>питань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захисту</w:t>
            </w:r>
            <w:proofErr w:type="spellEnd"/>
            <w:r w:rsidRPr="00682886">
              <w:t xml:space="preserve"> населення</w:t>
            </w:r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CD5C1C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департамент інфраструктури міста Сумської </w:t>
            </w:r>
            <w:r w:rsidR="00C20783" w:rsidRPr="00682886">
              <w:rPr>
                <w:lang w:val="uk-UA"/>
              </w:rPr>
              <w:lastRenderedPageBreak/>
              <w:t>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1F4AA9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="001F4AA9" w:rsidRPr="00682886">
              <w:rPr>
                <w:b/>
                <w:lang w:val="uk-UA"/>
              </w:rPr>
              <w:t>Програми</w:t>
            </w:r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Усього: </w:t>
            </w:r>
            <w:r w:rsidRPr="001C396C">
              <w:rPr>
                <w:bCs/>
                <w:lang w:val="uk-UA"/>
              </w:rPr>
              <w:t>7</w:t>
            </w:r>
            <w:r w:rsidR="003B19DC" w:rsidRPr="001C396C">
              <w:rPr>
                <w:bCs/>
                <w:lang w:val="uk-UA"/>
              </w:rPr>
              <w:t>7</w:t>
            </w:r>
            <w:r w:rsidRPr="001C396C">
              <w:rPr>
                <w:bCs/>
                <w:lang w:val="uk-UA"/>
              </w:rPr>
              <w:t> </w:t>
            </w:r>
            <w:r w:rsidR="000A5332" w:rsidRPr="001C396C">
              <w:rPr>
                <w:bCs/>
                <w:lang w:val="uk-UA"/>
              </w:rPr>
              <w:t>611</w:t>
            </w:r>
            <w:r w:rsidRPr="001C396C">
              <w:rPr>
                <w:bCs/>
                <w:lang w:val="uk-UA"/>
              </w:rPr>
              <w:t>,</w:t>
            </w:r>
            <w:r w:rsidR="000A5332" w:rsidRPr="001C396C">
              <w:rPr>
                <w:bCs/>
                <w:lang w:val="uk-UA"/>
              </w:rPr>
              <w:t>637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 тому складі по роках        </w:t>
            </w:r>
          </w:p>
          <w:p w:rsidR="00913131" w:rsidRPr="001C396C" w:rsidRDefault="00913131" w:rsidP="003C25D1">
            <w:pPr>
              <w:jc w:val="both"/>
            </w:pPr>
            <w:r w:rsidRPr="001C396C">
              <w:rPr>
                <w:lang w:val="uk-UA"/>
              </w:rPr>
              <w:t xml:space="preserve">        2019 рік – 29</w:t>
            </w:r>
            <w:r w:rsidR="00952705" w:rsidRPr="001C396C">
              <w:rPr>
                <w:lang w:val="uk-UA"/>
              </w:rPr>
              <w:t> 128.337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2020 рік – 2</w:t>
            </w:r>
            <w:r w:rsidR="003B19DC" w:rsidRPr="001C396C">
              <w:rPr>
                <w:lang w:val="uk-UA"/>
              </w:rPr>
              <w:t>8</w:t>
            </w:r>
            <w:r w:rsidR="00F764D0" w:rsidRPr="001C396C">
              <w:rPr>
                <w:lang w:val="uk-UA"/>
              </w:rPr>
              <w:t xml:space="preserve"> </w:t>
            </w:r>
            <w:r w:rsidR="000A5332" w:rsidRPr="001C396C">
              <w:rPr>
                <w:lang w:val="uk-UA"/>
              </w:rPr>
              <w:t>041</w:t>
            </w:r>
            <w:r w:rsidRPr="001C396C">
              <w:rPr>
                <w:lang w:val="en-US"/>
              </w:rPr>
              <w:t>,</w:t>
            </w:r>
            <w:r w:rsidR="000A5332" w:rsidRPr="001C396C">
              <w:rPr>
                <w:lang w:val="uk-UA"/>
              </w:rPr>
              <w:t>8</w:t>
            </w:r>
            <w:r w:rsidRPr="001C396C">
              <w:rPr>
                <w:lang w:val="uk-UA"/>
              </w:rPr>
              <w:t xml:space="preserve"> 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2021 рік – 20 </w:t>
            </w:r>
            <w:r w:rsidRPr="001C396C">
              <w:rPr>
                <w:lang w:val="en-US"/>
              </w:rPr>
              <w:t>441,</w:t>
            </w:r>
            <w:r w:rsidRPr="001C396C">
              <w:rPr>
                <w:lang w:val="uk-UA"/>
              </w:rPr>
              <w:t xml:space="preserve">5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  <w:r w:rsidR="00296536" w:rsidRPr="00682886">
              <w:rPr>
                <w:b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Усього: </w:t>
            </w:r>
            <w:r w:rsidRPr="001C396C">
              <w:rPr>
                <w:bCs/>
                <w:lang w:val="uk-UA"/>
              </w:rPr>
              <w:t>7</w:t>
            </w:r>
            <w:r w:rsidR="002E4931" w:rsidRPr="001C396C">
              <w:rPr>
                <w:bCs/>
                <w:lang w:val="uk-UA"/>
              </w:rPr>
              <w:t>7</w:t>
            </w:r>
            <w:r w:rsidRPr="001C396C">
              <w:rPr>
                <w:bCs/>
                <w:lang w:val="uk-UA"/>
              </w:rPr>
              <w:t> </w:t>
            </w:r>
            <w:r w:rsidR="002E4931" w:rsidRPr="001C396C">
              <w:rPr>
                <w:bCs/>
                <w:lang w:val="uk-UA"/>
              </w:rPr>
              <w:t>5</w:t>
            </w:r>
            <w:r w:rsidR="000A5332" w:rsidRPr="001C396C">
              <w:rPr>
                <w:bCs/>
                <w:lang w:val="uk-UA"/>
              </w:rPr>
              <w:t>38</w:t>
            </w:r>
            <w:r w:rsidRPr="001C396C">
              <w:rPr>
                <w:bCs/>
                <w:lang w:val="uk-UA"/>
              </w:rPr>
              <w:t>,</w:t>
            </w:r>
            <w:r w:rsidR="000A5332" w:rsidRPr="001C396C">
              <w:rPr>
                <w:bCs/>
                <w:lang w:val="uk-UA"/>
              </w:rPr>
              <w:t>3</w:t>
            </w:r>
            <w:r w:rsidRPr="001C396C">
              <w:rPr>
                <w:bCs/>
                <w:lang w:val="uk-UA"/>
              </w:rPr>
              <w:t>89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У тому складі по роках        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2019 рік – 29 </w:t>
            </w:r>
            <w:r w:rsidR="00952705" w:rsidRPr="001C396C">
              <w:rPr>
                <w:lang w:val="uk-UA"/>
              </w:rPr>
              <w:t>055</w:t>
            </w:r>
            <w:r w:rsidRPr="001C396C">
              <w:rPr>
                <w:lang w:val="uk-UA"/>
              </w:rPr>
              <w:t>,089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2020 рік – 2</w:t>
            </w:r>
            <w:r w:rsidR="003B19DC" w:rsidRPr="001C396C">
              <w:rPr>
                <w:lang w:val="uk-UA"/>
              </w:rPr>
              <w:t>8</w:t>
            </w:r>
            <w:r w:rsidR="00340A04" w:rsidRPr="001C396C">
              <w:rPr>
                <w:lang w:val="uk-UA"/>
              </w:rPr>
              <w:t xml:space="preserve"> </w:t>
            </w:r>
            <w:r w:rsidR="003B19DC" w:rsidRPr="001C396C">
              <w:rPr>
                <w:lang w:val="uk-UA"/>
              </w:rPr>
              <w:t>0</w:t>
            </w:r>
            <w:r w:rsidR="000A5332" w:rsidRPr="001C396C">
              <w:rPr>
                <w:lang w:val="uk-UA"/>
              </w:rPr>
              <w:t>41</w:t>
            </w:r>
            <w:r w:rsidRPr="001C396C">
              <w:rPr>
                <w:lang w:val="en-US"/>
              </w:rPr>
              <w:t>,</w:t>
            </w:r>
            <w:r w:rsidR="000A5332" w:rsidRPr="001C396C">
              <w:rPr>
                <w:lang w:val="uk-UA"/>
              </w:rPr>
              <w:t>8</w:t>
            </w:r>
          </w:p>
          <w:p w:rsidR="00913131" w:rsidRPr="001C396C" w:rsidRDefault="00913131" w:rsidP="003C25D1">
            <w:pPr>
              <w:jc w:val="both"/>
              <w:rPr>
                <w:lang w:val="uk-UA"/>
              </w:rPr>
            </w:pPr>
            <w:r w:rsidRPr="001C396C">
              <w:rPr>
                <w:lang w:val="uk-UA"/>
              </w:rPr>
              <w:t xml:space="preserve">        2021 рік – 20 </w:t>
            </w:r>
            <w:r w:rsidRPr="001C396C">
              <w:rPr>
                <w:lang w:val="en-US"/>
              </w:rPr>
              <w:t>44</w:t>
            </w:r>
            <w:r w:rsidRPr="001C396C">
              <w:rPr>
                <w:lang w:val="uk-UA"/>
              </w:rPr>
              <w:t>1,5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>ланки територіальної підсистеми цивільного захисту, що забезпечить гарантований рівень захисту населення і територі</w:t>
      </w:r>
      <w:r w:rsidR="00010077">
        <w:rPr>
          <w:sz w:val="28"/>
          <w:szCs w:val="28"/>
          <w:lang w:val="uk-UA"/>
        </w:rPr>
        <w:t>й</w:t>
      </w:r>
      <w:r w:rsidRPr="00682886">
        <w:rPr>
          <w:sz w:val="28"/>
          <w:szCs w:val="28"/>
          <w:lang w:val="uk-UA"/>
        </w:rPr>
        <w:t xml:space="preserve"> від надзвичайних ситуацій техногенного та природного характеру на території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пріоритетів діяльності органів місцевого самоврядування. </w:t>
      </w:r>
      <w:r w:rsidRPr="00E03776">
        <w:rPr>
          <w:sz w:val="28"/>
          <w:szCs w:val="28"/>
          <w:lang w:val="uk-UA"/>
        </w:rPr>
        <w:t xml:space="preserve">Ці питання особливо актуальні в умовах наявності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СМОТГ</w:t>
      </w:r>
      <w:r w:rsidRPr="00E03776">
        <w:rPr>
          <w:sz w:val="28"/>
          <w:szCs w:val="28"/>
          <w:lang w:val="uk-UA"/>
        </w:rPr>
        <w:t xml:space="preserve"> чотирьох хімічно небезпечних підприємств. </w:t>
      </w:r>
      <w:r w:rsidRPr="00A72E97">
        <w:rPr>
          <w:sz w:val="28"/>
          <w:szCs w:val="28"/>
          <w:lang w:val="uk-UA"/>
        </w:rPr>
        <w:t xml:space="preserve">Для зменшення наслідків стихійних лих має бути своєчасне оповіщення населення про загрозу та виникнення надзвичайної </w:t>
      </w:r>
      <w:r w:rsidRPr="00A72E97">
        <w:rPr>
          <w:sz w:val="28"/>
          <w:szCs w:val="28"/>
          <w:lang w:val="uk-UA"/>
        </w:rPr>
        <w:lastRenderedPageBreak/>
        <w:t xml:space="preserve">ситуації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A72E97">
        <w:rPr>
          <w:sz w:val="28"/>
          <w:szCs w:val="28"/>
          <w:lang w:val="uk-UA"/>
        </w:rPr>
        <w:t xml:space="preserve">обстановку, що склалася  внаслідок  її  реалізації,  а також  інформування про порядок і правила поведінки в умовах надзвичайних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СМОТГ</w:t>
      </w:r>
      <w:r w:rsidR="00E03776"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 xml:space="preserve"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E03776">
        <w:rPr>
          <w:sz w:val="28"/>
          <w:szCs w:val="28"/>
          <w:lang w:val="uk-UA"/>
        </w:rPr>
        <w:t xml:space="preserve">на території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 xml:space="preserve">На підставі рішення Сумської міської ради від 23.12.2009 №3336-МР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</w:t>
      </w:r>
      <w:r w:rsidR="00A72E97">
        <w:rPr>
          <w:szCs w:val="28"/>
        </w:rPr>
        <w:t>СМОТГ</w:t>
      </w:r>
      <w:r w:rsidRPr="00682886">
        <w:t xml:space="preserve">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</w:t>
      </w:r>
      <w:r w:rsidR="00A72E97">
        <w:rPr>
          <w:szCs w:val="28"/>
        </w:rPr>
        <w:t>СМОТГ</w:t>
      </w:r>
      <w:r w:rsidRPr="00682886">
        <w:rPr>
          <w:szCs w:val="28"/>
        </w:rPr>
        <w:t xml:space="preserve">. Але інженерно-технічне обладнання споруди застаріле  та потребує оновлення. </w:t>
      </w:r>
    </w:p>
    <w:p w:rsidR="00913131" w:rsidRPr="00682886" w:rsidRDefault="000158CF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3131"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="00913131"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="00913131"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</w:t>
      </w:r>
      <w:r w:rsidR="00A72E97">
        <w:t>на території СМОТГ</w:t>
      </w:r>
      <w:r w:rsidRPr="00682886">
        <w:t xml:space="preserve"> визначений перелік об’єктів та споруд систем життєзабезпечення, що відносяться до комунальної власності </w:t>
      </w:r>
      <w:r w:rsidR="00A72E97">
        <w:t>СМОТГ</w:t>
      </w:r>
      <w:r w:rsidRPr="00682886">
        <w:t xml:space="preserve">, які підлягають закладенню до страхового фонду документації України. Разом з тим у вирішенні цих питань практично не проводиться робота на рівні </w:t>
      </w:r>
      <w:r w:rsidR="00A72E97">
        <w:rPr>
          <w:szCs w:val="28"/>
        </w:rPr>
        <w:t>СМОТГ</w:t>
      </w:r>
      <w:r w:rsidRPr="00682886">
        <w:t xml:space="preserve"> через відсутність фінансування на  процес створення  страхового фонду документації в </w:t>
      </w:r>
      <w:r w:rsidR="00A72E97">
        <w:rPr>
          <w:szCs w:val="28"/>
        </w:rPr>
        <w:t>СМОТГ</w:t>
      </w:r>
      <w:r w:rsidRPr="00682886">
        <w:t>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>Таким чином, в</w:t>
      </w:r>
      <w:r w:rsidR="00D7696B">
        <w:rPr>
          <w:sz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СМОТГ</w:t>
      </w:r>
      <w:r w:rsidR="00010077" w:rsidRPr="00682886">
        <w:rPr>
          <w:sz w:val="28"/>
        </w:rPr>
        <w:t xml:space="preserve"> </w:t>
      </w:r>
      <w:proofErr w:type="spellStart"/>
      <w:r w:rsidR="00010077" w:rsidRPr="00682886">
        <w:rPr>
          <w:sz w:val="28"/>
        </w:rPr>
        <w:t>існують</w:t>
      </w:r>
      <w:proofErr w:type="spellEnd"/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t xml:space="preserve">матеріальний резерв </w:t>
      </w:r>
      <w:r w:rsidR="00010077">
        <w:rPr>
          <w:sz w:val="28"/>
          <w:lang w:val="uk-UA"/>
        </w:rPr>
        <w:t xml:space="preserve">СМОТГ </w:t>
      </w:r>
      <w:r w:rsidRPr="00682886">
        <w:rPr>
          <w:sz w:val="28"/>
          <w:lang w:val="uk-UA"/>
        </w:rPr>
        <w:t xml:space="preserve">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</w:t>
      </w:r>
      <w:r w:rsidRPr="00682886">
        <w:rPr>
          <w:sz w:val="28"/>
          <w:lang w:val="uk-UA"/>
        </w:rPr>
        <w:lastRenderedPageBreak/>
        <w:t xml:space="preserve">надзвичайних ситуацій на території </w:t>
      </w:r>
      <w:r w:rsidR="00A72E97">
        <w:rPr>
          <w:sz w:val="28"/>
          <w:lang w:val="uk-UA"/>
        </w:rPr>
        <w:t>СМОТГ</w:t>
      </w:r>
      <w:r w:rsidRPr="00682886">
        <w:rPr>
          <w:sz w:val="28"/>
          <w:lang w:val="uk-UA"/>
        </w:rPr>
        <w:t>, а також інж</w:t>
      </w:r>
      <w:r w:rsidR="008F0E83" w:rsidRPr="00682886">
        <w:rPr>
          <w:sz w:val="28"/>
          <w:lang w:val="uk-UA"/>
        </w:rPr>
        <w:t xml:space="preserve">енерного захисту 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</w:t>
      </w:r>
      <w:r w:rsidR="00A72E97">
        <w:rPr>
          <w:sz w:val="28"/>
          <w:lang w:val="uk-UA"/>
        </w:rPr>
        <w:t>СМОТГ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незабезпеченість засобами індивідуального захисту непрацюючого населення </w:t>
      </w:r>
      <w:r w:rsidR="00A72E97">
        <w:rPr>
          <w:sz w:val="28"/>
          <w:lang w:val="uk-UA"/>
        </w:rPr>
        <w:t>СМОТГ</w:t>
      </w:r>
      <w:r w:rsidRPr="00682886">
        <w:rPr>
          <w:sz w:val="28"/>
          <w:lang w:val="uk-UA"/>
        </w:rPr>
        <w:t>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 xml:space="preserve">сть коштів на утилізацію небезпечних речовин виявлених на території </w:t>
      </w:r>
      <w:r w:rsidR="00A72E97">
        <w:t>СМОТГ</w:t>
      </w:r>
      <w:r w:rsidRPr="00682886">
        <w:t>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 xml:space="preserve">сть коштів на подальше створення страхового фонду документації </w:t>
      </w:r>
      <w:r w:rsidR="00A72E97">
        <w:t>СМОТГ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A72E97">
        <w:rPr>
          <w:sz w:val="28"/>
          <w:lang w:val="uk-UA"/>
        </w:rPr>
        <w:t>СМОТГ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 xml:space="preserve"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</w:t>
      </w:r>
      <w:r w:rsidR="00A72E97">
        <w:rPr>
          <w:sz w:val="28"/>
          <w:szCs w:val="28"/>
          <w:lang w:val="uk-UA"/>
        </w:rPr>
        <w:t>на території СМОТГ</w:t>
      </w:r>
      <w:r w:rsidRPr="00682886">
        <w:rPr>
          <w:sz w:val="28"/>
          <w:szCs w:val="28"/>
          <w:lang w:val="uk-UA"/>
        </w:rPr>
        <w:t xml:space="preserve">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 xml:space="preserve">матеріального резерву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управління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</w:t>
      </w:r>
      <w:r w:rsidR="00A72E9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 xml:space="preserve">5. Здійснити організаційні та спеціальні заходи із запобігання виникненню </w:t>
      </w:r>
      <w:r w:rsidR="00010077">
        <w:rPr>
          <w:sz w:val="28"/>
          <w:szCs w:val="28"/>
          <w:lang w:val="uk-UA"/>
        </w:rPr>
        <w:t>на території СМОТГ</w:t>
      </w:r>
      <w:r w:rsidRPr="00682886">
        <w:rPr>
          <w:sz w:val="28"/>
          <w:szCs w:val="28"/>
          <w:lang w:val="uk-UA"/>
        </w:rPr>
        <w:t xml:space="preserve">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1C396C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Pr="001C396C">
        <w:rPr>
          <w:bCs/>
        </w:rPr>
        <w:t>7</w:t>
      </w:r>
      <w:r w:rsidR="002E4931" w:rsidRPr="001C396C">
        <w:rPr>
          <w:bCs/>
        </w:rPr>
        <w:t>7</w:t>
      </w:r>
      <w:r w:rsidRPr="001C396C">
        <w:rPr>
          <w:bCs/>
          <w:lang w:val="ru-RU"/>
        </w:rPr>
        <w:t> </w:t>
      </w:r>
      <w:r w:rsidR="008C5559" w:rsidRPr="001C396C">
        <w:rPr>
          <w:bCs/>
        </w:rPr>
        <w:t>611</w:t>
      </w:r>
      <w:r w:rsidRPr="001C396C">
        <w:rPr>
          <w:bCs/>
        </w:rPr>
        <w:t>,</w:t>
      </w:r>
      <w:r w:rsidR="008C5559" w:rsidRPr="001C396C">
        <w:rPr>
          <w:bCs/>
        </w:rPr>
        <w:t>637</w:t>
      </w:r>
      <w:r w:rsidRPr="001C396C">
        <w:rPr>
          <w:bCs/>
          <w:szCs w:val="28"/>
        </w:rPr>
        <w:t xml:space="preserve"> тис. </w:t>
      </w:r>
      <w:r w:rsidRPr="001C396C">
        <w:rPr>
          <w:szCs w:val="28"/>
        </w:rPr>
        <w:t xml:space="preserve">грн., з них за рахунок коштів </w:t>
      </w:r>
      <w:r w:rsidR="008C5559" w:rsidRPr="001C396C">
        <w:rPr>
          <w:szCs w:val="28"/>
        </w:rPr>
        <w:t>міського бюджету – 29 055,</w:t>
      </w:r>
      <w:r w:rsidR="000B147B" w:rsidRPr="001C396C">
        <w:rPr>
          <w:szCs w:val="28"/>
        </w:rPr>
        <w:t xml:space="preserve">089 тис. грн, </w:t>
      </w:r>
      <w:r w:rsidRPr="001C396C">
        <w:rPr>
          <w:szCs w:val="28"/>
        </w:rPr>
        <w:t>бюджету</w:t>
      </w:r>
      <w:r w:rsidR="002C4D66" w:rsidRPr="001C396C">
        <w:rPr>
          <w:szCs w:val="28"/>
        </w:rPr>
        <w:t xml:space="preserve"> </w:t>
      </w:r>
      <w:r w:rsidR="00010077" w:rsidRPr="001C396C">
        <w:t xml:space="preserve">СМОТГ </w:t>
      </w:r>
      <w:r w:rsidRPr="001C396C">
        <w:rPr>
          <w:szCs w:val="28"/>
        </w:rPr>
        <w:t xml:space="preserve"> – </w:t>
      </w:r>
      <w:r w:rsidR="00D77FB7" w:rsidRPr="001C396C">
        <w:rPr>
          <w:szCs w:val="28"/>
        </w:rPr>
        <w:t>4</w:t>
      </w:r>
      <w:r w:rsidR="002E4931" w:rsidRPr="001C396C">
        <w:rPr>
          <w:szCs w:val="28"/>
        </w:rPr>
        <w:t>8</w:t>
      </w:r>
      <w:r w:rsidR="00D77FB7" w:rsidRPr="001C396C">
        <w:rPr>
          <w:szCs w:val="28"/>
        </w:rPr>
        <w:t> </w:t>
      </w:r>
      <w:r w:rsidR="002E4931" w:rsidRPr="001C396C">
        <w:rPr>
          <w:szCs w:val="28"/>
        </w:rPr>
        <w:t>4</w:t>
      </w:r>
      <w:r w:rsidR="00974647" w:rsidRPr="001C396C">
        <w:rPr>
          <w:szCs w:val="28"/>
        </w:rPr>
        <w:t>83</w:t>
      </w:r>
      <w:r w:rsidR="00D77FB7" w:rsidRPr="001C396C">
        <w:rPr>
          <w:szCs w:val="28"/>
        </w:rPr>
        <w:t>,</w:t>
      </w:r>
      <w:r w:rsidR="00974647" w:rsidRPr="001C396C">
        <w:rPr>
          <w:szCs w:val="28"/>
        </w:rPr>
        <w:t>3</w:t>
      </w:r>
      <w:r w:rsidR="00D77FB7" w:rsidRPr="001C396C">
        <w:rPr>
          <w:szCs w:val="28"/>
        </w:rPr>
        <w:t xml:space="preserve"> </w:t>
      </w:r>
      <w:r w:rsidRPr="001C396C">
        <w:rPr>
          <w:szCs w:val="28"/>
        </w:rPr>
        <w:t>тис. грн.</w:t>
      </w:r>
    </w:p>
    <w:p w:rsidR="00913131" w:rsidRPr="001C396C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1C396C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1C396C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1C396C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1C396C" w:rsidRDefault="00913131" w:rsidP="00913131">
      <w:pPr>
        <w:rPr>
          <w:sz w:val="28"/>
          <w:szCs w:val="28"/>
          <w:lang w:val="uk-UA"/>
        </w:rPr>
      </w:pPr>
      <w:r w:rsidRPr="001C396C">
        <w:rPr>
          <w:sz w:val="28"/>
          <w:szCs w:val="28"/>
          <w:lang w:val="uk-UA"/>
        </w:rPr>
        <w:t xml:space="preserve">         2019 рік – 29 </w:t>
      </w:r>
      <w:r w:rsidR="007C1DD1" w:rsidRPr="001C396C">
        <w:rPr>
          <w:sz w:val="28"/>
          <w:szCs w:val="28"/>
          <w:lang w:val="uk-UA"/>
        </w:rPr>
        <w:t>128</w:t>
      </w:r>
      <w:r w:rsidRPr="001C396C">
        <w:rPr>
          <w:sz w:val="28"/>
          <w:szCs w:val="28"/>
          <w:lang w:val="uk-UA"/>
        </w:rPr>
        <w:t>,337;</w:t>
      </w:r>
    </w:p>
    <w:p w:rsidR="00913131" w:rsidRPr="001C396C" w:rsidRDefault="00913131" w:rsidP="00913131">
      <w:pPr>
        <w:rPr>
          <w:sz w:val="28"/>
          <w:szCs w:val="28"/>
          <w:lang w:val="uk-UA"/>
        </w:rPr>
      </w:pPr>
      <w:r w:rsidRPr="001C396C">
        <w:rPr>
          <w:sz w:val="28"/>
          <w:szCs w:val="28"/>
          <w:lang w:val="uk-UA"/>
        </w:rPr>
        <w:t xml:space="preserve">         2020 рік – 2</w:t>
      </w:r>
      <w:r w:rsidR="002E4931" w:rsidRPr="001C396C">
        <w:rPr>
          <w:sz w:val="28"/>
          <w:szCs w:val="28"/>
          <w:lang w:val="uk-UA"/>
        </w:rPr>
        <w:t>8</w:t>
      </w:r>
      <w:r w:rsidR="001347B0" w:rsidRPr="001C396C">
        <w:rPr>
          <w:sz w:val="28"/>
          <w:szCs w:val="28"/>
          <w:lang w:val="uk-UA"/>
        </w:rPr>
        <w:t xml:space="preserve"> </w:t>
      </w:r>
      <w:r w:rsidR="002E4931" w:rsidRPr="001C396C">
        <w:rPr>
          <w:sz w:val="28"/>
          <w:szCs w:val="28"/>
          <w:lang w:val="uk-UA"/>
        </w:rPr>
        <w:t>0</w:t>
      </w:r>
      <w:r w:rsidR="00974647" w:rsidRPr="001C396C">
        <w:rPr>
          <w:sz w:val="28"/>
          <w:szCs w:val="28"/>
          <w:lang w:val="uk-UA"/>
        </w:rPr>
        <w:t>41</w:t>
      </w:r>
      <w:r w:rsidRPr="001C396C">
        <w:rPr>
          <w:sz w:val="28"/>
          <w:szCs w:val="28"/>
          <w:lang w:val="uk-UA"/>
        </w:rPr>
        <w:t>,</w:t>
      </w:r>
      <w:r w:rsidR="00974647" w:rsidRPr="001C396C">
        <w:rPr>
          <w:sz w:val="28"/>
          <w:szCs w:val="28"/>
          <w:lang w:val="uk-UA"/>
        </w:rPr>
        <w:t>8</w:t>
      </w:r>
      <w:r w:rsidRPr="001C396C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2021 рік – 20 441,5.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розпочати будівництво та утримув</w:t>
      </w:r>
      <w:r w:rsidR="00351D4E">
        <w:rPr>
          <w:sz w:val="28"/>
          <w:szCs w:val="28"/>
          <w:lang w:val="uk-UA"/>
        </w:rPr>
        <w:t>ання</w:t>
      </w:r>
      <w:r w:rsidRPr="00682886">
        <w:rPr>
          <w:sz w:val="28"/>
          <w:szCs w:val="28"/>
          <w:lang w:val="uk-UA"/>
        </w:rPr>
        <w:t xml:space="preserve">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</w:t>
      </w:r>
      <w:r w:rsidR="00010077">
        <w:rPr>
          <w:sz w:val="28"/>
          <w:szCs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 xml:space="preserve">комунальних підприємствах </w:t>
      </w:r>
      <w:r w:rsidR="00010077">
        <w:rPr>
          <w:sz w:val="28"/>
          <w:lang w:val="uk-UA"/>
        </w:rPr>
        <w:t>СМОТГ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212052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212052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</w:t>
      </w:r>
      <w:r w:rsidR="00805445">
        <w:rPr>
          <w:sz w:val="28"/>
          <w:szCs w:val="28"/>
          <w:lang w:val="uk-UA"/>
        </w:rPr>
        <w:t>01</w:t>
      </w:r>
      <w:r w:rsidRPr="00212052">
        <w:rPr>
          <w:sz w:val="28"/>
          <w:szCs w:val="28"/>
          <w:lang w:val="uk-UA"/>
        </w:rPr>
        <w:t xml:space="preserve"> </w:t>
      </w:r>
      <w:r w:rsidR="00805445">
        <w:rPr>
          <w:sz w:val="28"/>
          <w:szCs w:val="28"/>
          <w:lang w:val="uk-UA"/>
        </w:rPr>
        <w:t>квітня</w:t>
      </w:r>
      <w:r w:rsidRPr="00212052">
        <w:rPr>
          <w:sz w:val="28"/>
          <w:szCs w:val="28"/>
          <w:lang w:val="uk-UA"/>
        </w:rPr>
        <w:t xml:space="preserve">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682886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653FF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BE444A" w:rsidRPr="00682886" w:rsidRDefault="00BE444A" w:rsidP="00BE4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А.В. Баранов</w:t>
      </w:r>
    </w:p>
    <w:p w:rsidR="00370001" w:rsidRPr="00682886" w:rsidRDefault="00370001" w:rsidP="00913131">
      <w:pPr>
        <w:jc w:val="both"/>
        <w:rPr>
          <w:lang w:val="uk-UA"/>
        </w:rPr>
      </w:pP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010077" w:rsidRDefault="00010077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2A5488" w:rsidRDefault="002A5488" w:rsidP="00913131">
      <w:pPr>
        <w:ind w:left="5103"/>
        <w:jc w:val="center"/>
        <w:rPr>
          <w:szCs w:val="28"/>
          <w:lang w:val="uk-UA"/>
        </w:rPr>
      </w:pPr>
    </w:p>
    <w:p w:rsidR="002A5488" w:rsidRDefault="002A5488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A40AC0" w:rsidRDefault="00A40AC0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014C58" w:rsidP="00014C58">
      <w:pPr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</w:t>
      </w:r>
      <w:r w:rsidR="00913131" w:rsidRPr="00682886">
        <w:rPr>
          <w:szCs w:val="28"/>
          <w:lang w:val="uk-UA"/>
        </w:rPr>
        <w:t>Додаток 1.1</w:t>
      </w:r>
    </w:p>
    <w:p w:rsidR="00BD7C05" w:rsidRPr="00682886" w:rsidRDefault="00014C58" w:rsidP="00913131">
      <w:pPr>
        <w:ind w:left="4776" w:right="-37"/>
        <w:jc w:val="both"/>
        <w:rPr>
          <w:lang w:val="uk-UA"/>
        </w:rPr>
      </w:pPr>
      <w:r>
        <w:rPr>
          <w:lang w:val="uk-UA"/>
        </w:rPr>
        <w:t>д</w:t>
      </w:r>
      <w:r w:rsidR="00BD7C05" w:rsidRPr="00682886">
        <w:rPr>
          <w:lang w:val="uk-UA"/>
        </w:rPr>
        <w:t xml:space="preserve">о цільової Програми захисту населення і території </w:t>
      </w:r>
      <w:r w:rsidR="00F26317">
        <w:rPr>
          <w:lang w:val="uk-UA"/>
        </w:rPr>
        <w:t>Сумської міської об’єднаної територіальної громади</w:t>
      </w:r>
      <w:r w:rsidR="00BD7C05" w:rsidRPr="00682886">
        <w:rPr>
          <w:lang w:val="uk-UA"/>
        </w:rPr>
        <w:t xml:space="preserve">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Pr="00682886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b/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2E4931" w:rsidRPr="00442A1B">
              <w:rPr>
                <w:b/>
                <w:lang w:val="uk-UA"/>
              </w:rPr>
              <w:t>8</w:t>
            </w:r>
            <w:r w:rsidRPr="00442A1B">
              <w:rPr>
                <w:b/>
                <w:lang w:val="uk-UA"/>
              </w:rPr>
              <w:t> </w:t>
            </w:r>
            <w:r w:rsidR="00EC671C" w:rsidRPr="00442A1B">
              <w:rPr>
                <w:b/>
                <w:lang w:val="uk-UA"/>
              </w:rPr>
              <w:t>041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8</w:t>
            </w: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442A1B" w:rsidRDefault="00272115" w:rsidP="00272115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</w:t>
            </w:r>
            <w:r w:rsidR="005C4F94" w:rsidRPr="00442A1B">
              <w:rPr>
                <w:b/>
                <w:lang w:val="uk-UA"/>
              </w:rPr>
              <w:t>5</w:t>
            </w:r>
            <w:r w:rsidRPr="00442A1B">
              <w:rPr>
                <w:b/>
                <w:lang w:val="uk-UA"/>
              </w:rPr>
              <w:t xml:space="preserve"> </w:t>
            </w:r>
            <w:r w:rsidR="005C4F94" w:rsidRPr="00442A1B">
              <w:rPr>
                <w:b/>
                <w:lang w:val="uk-UA"/>
              </w:rPr>
              <w:t>6</w:t>
            </w:r>
            <w:r w:rsidR="00EC671C" w:rsidRPr="00442A1B">
              <w:rPr>
                <w:b/>
                <w:lang w:val="uk-UA"/>
              </w:rPr>
              <w:t>82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4</w:t>
            </w:r>
            <w:r w:rsidRPr="00442A1B">
              <w:rPr>
                <w:b/>
                <w:lang w:val="uk-UA"/>
              </w:rPr>
              <w:t> </w:t>
            </w:r>
          </w:p>
          <w:p w:rsidR="00B800F2" w:rsidRPr="00442A1B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5C4F94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2 </w:t>
            </w:r>
            <w:r w:rsidR="005C4F94" w:rsidRPr="00442A1B">
              <w:rPr>
                <w:b/>
                <w:lang w:val="uk-UA"/>
              </w:rPr>
              <w:t>359</w:t>
            </w:r>
            <w:r w:rsidRPr="00442A1B">
              <w:rPr>
                <w:b/>
                <w:lang w:val="uk-UA"/>
              </w:rPr>
              <w:t>,</w:t>
            </w:r>
            <w:r w:rsidR="00B800F2" w:rsidRPr="00442A1B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20 441,5</w:t>
            </w: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442A1B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4C2B65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20 441,5</w:t>
            </w: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442A1B" w:rsidRDefault="004C2B65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442A1B" w:rsidRDefault="00913131" w:rsidP="003C25D1">
            <w:pPr>
              <w:jc w:val="center"/>
              <w:rPr>
                <w:b/>
                <w:bCs/>
                <w:lang w:val="uk-UA"/>
              </w:rPr>
            </w:pPr>
            <w:r w:rsidRPr="00442A1B">
              <w:rPr>
                <w:b/>
                <w:bCs/>
                <w:lang w:val="uk-UA"/>
              </w:rPr>
              <w:t>7</w:t>
            </w:r>
            <w:r w:rsidR="002E4931" w:rsidRPr="00442A1B">
              <w:rPr>
                <w:b/>
                <w:bCs/>
                <w:lang w:val="uk-UA"/>
              </w:rPr>
              <w:t>7</w:t>
            </w:r>
            <w:r w:rsidRPr="00442A1B">
              <w:rPr>
                <w:b/>
                <w:bCs/>
                <w:lang w:val="uk-UA"/>
              </w:rPr>
              <w:t> </w:t>
            </w:r>
            <w:r w:rsidR="008C5559" w:rsidRPr="00442A1B">
              <w:rPr>
                <w:b/>
                <w:bCs/>
                <w:lang w:val="uk-UA"/>
              </w:rPr>
              <w:t>611</w:t>
            </w:r>
            <w:r w:rsidRPr="00442A1B">
              <w:rPr>
                <w:b/>
                <w:bCs/>
                <w:lang w:val="uk-UA"/>
              </w:rPr>
              <w:t>,</w:t>
            </w:r>
            <w:r w:rsidR="008C5559" w:rsidRPr="00442A1B">
              <w:rPr>
                <w:b/>
                <w:bCs/>
                <w:lang w:val="uk-UA"/>
              </w:rPr>
              <w:t>637</w:t>
            </w:r>
          </w:p>
          <w:p w:rsidR="008F40B3" w:rsidRPr="00442A1B" w:rsidRDefault="008F40B3" w:rsidP="008F40B3">
            <w:pPr>
              <w:jc w:val="center"/>
              <w:rPr>
                <w:b/>
                <w:lang w:val="en-US"/>
              </w:rPr>
            </w:pPr>
            <w:r w:rsidRPr="00442A1B">
              <w:rPr>
                <w:b/>
                <w:lang w:val="uk-UA"/>
              </w:rPr>
              <w:t>29 0</w:t>
            </w:r>
            <w:r w:rsidR="00017067" w:rsidRPr="00442A1B">
              <w:rPr>
                <w:b/>
                <w:lang w:val="uk-UA"/>
              </w:rPr>
              <w:t>55</w:t>
            </w:r>
            <w:r w:rsidRPr="00442A1B">
              <w:rPr>
                <w:b/>
                <w:lang w:val="uk-UA"/>
              </w:rPr>
              <w:t>,</w:t>
            </w:r>
            <w:r w:rsidR="00017067" w:rsidRPr="00442A1B">
              <w:rPr>
                <w:b/>
                <w:lang w:val="uk-UA"/>
              </w:rPr>
              <w:t>0</w:t>
            </w:r>
            <w:r w:rsidRPr="00442A1B">
              <w:rPr>
                <w:b/>
                <w:lang w:val="uk-UA"/>
              </w:rPr>
              <w:t>89</w:t>
            </w:r>
          </w:p>
          <w:p w:rsidR="00913131" w:rsidRPr="00442A1B" w:rsidRDefault="00913131" w:rsidP="003C25D1">
            <w:pPr>
              <w:jc w:val="center"/>
              <w:rPr>
                <w:lang w:val="uk-UA"/>
              </w:rPr>
            </w:pPr>
          </w:p>
          <w:p w:rsidR="00913131" w:rsidRPr="00442A1B" w:rsidRDefault="008F40B3" w:rsidP="003C25D1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>4</w:t>
            </w:r>
            <w:r w:rsidR="002E4931" w:rsidRPr="00442A1B">
              <w:rPr>
                <w:b/>
                <w:lang w:val="uk-UA"/>
              </w:rPr>
              <w:t>8</w:t>
            </w:r>
            <w:r w:rsidR="00EC671C" w:rsidRPr="00442A1B">
              <w:rPr>
                <w:b/>
                <w:lang w:val="uk-UA"/>
              </w:rPr>
              <w:t> </w:t>
            </w:r>
            <w:r w:rsidR="002E4931" w:rsidRPr="00442A1B">
              <w:rPr>
                <w:b/>
                <w:lang w:val="uk-UA"/>
              </w:rPr>
              <w:t>4</w:t>
            </w:r>
            <w:r w:rsidR="00EC671C" w:rsidRPr="00442A1B">
              <w:rPr>
                <w:b/>
                <w:lang w:val="uk-UA"/>
              </w:rPr>
              <w:t>83,3</w:t>
            </w: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442A1B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442A1B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442A1B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442A1B" w:rsidRDefault="00720965" w:rsidP="00720965">
            <w:pPr>
              <w:jc w:val="center"/>
              <w:rPr>
                <w:b/>
              </w:rPr>
            </w:pPr>
            <w:r w:rsidRPr="00442A1B">
              <w:rPr>
                <w:b/>
                <w:lang w:val="uk-UA"/>
              </w:rPr>
              <w:t>6</w:t>
            </w:r>
            <w:r w:rsidR="005C4F94" w:rsidRPr="00442A1B">
              <w:rPr>
                <w:b/>
                <w:lang w:val="uk-UA"/>
              </w:rPr>
              <w:t>7</w:t>
            </w:r>
            <w:r w:rsidRPr="00442A1B">
              <w:rPr>
                <w:b/>
                <w:lang w:val="uk-UA"/>
              </w:rPr>
              <w:t> </w:t>
            </w:r>
            <w:r w:rsidR="005C4F94" w:rsidRPr="00442A1B">
              <w:rPr>
                <w:b/>
                <w:lang w:val="uk-UA"/>
              </w:rPr>
              <w:t>2</w:t>
            </w:r>
            <w:r w:rsidR="00EC671C" w:rsidRPr="00442A1B">
              <w:rPr>
                <w:b/>
                <w:lang w:val="uk-UA"/>
              </w:rPr>
              <w:t>19</w:t>
            </w:r>
            <w:r w:rsidRPr="00442A1B">
              <w:rPr>
                <w:b/>
                <w:lang w:val="uk-UA"/>
              </w:rPr>
              <w:t>,</w:t>
            </w:r>
            <w:r w:rsidR="00EC671C" w:rsidRPr="00442A1B">
              <w:rPr>
                <w:b/>
                <w:lang w:val="uk-UA"/>
              </w:rPr>
              <w:t>4</w:t>
            </w:r>
            <w:r w:rsidRPr="00442A1B">
              <w:rPr>
                <w:b/>
                <w:lang w:val="uk-UA"/>
              </w:rPr>
              <w:t>89</w:t>
            </w:r>
          </w:p>
          <w:p w:rsidR="00E934C5" w:rsidRPr="00442A1B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442A1B" w:rsidRDefault="00E934C5" w:rsidP="005C4F94">
            <w:pPr>
              <w:jc w:val="center"/>
              <w:rPr>
                <w:b/>
                <w:lang w:val="uk-UA"/>
              </w:rPr>
            </w:pPr>
            <w:r w:rsidRPr="00442A1B">
              <w:rPr>
                <w:b/>
                <w:lang w:val="uk-UA"/>
              </w:rPr>
              <w:t xml:space="preserve">10 </w:t>
            </w:r>
            <w:r w:rsidR="005C4F94" w:rsidRPr="00442A1B">
              <w:rPr>
                <w:b/>
                <w:lang w:val="uk-UA"/>
              </w:rPr>
              <w:t>318</w:t>
            </w:r>
            <w:r w:rsidRPr="00442A1B">
              <w:rPr>
                <w:b/>
                <w:lang w:val="uk-UA"/>
              </w:rPr>
              <w:t>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Default="00913131" w:rsidP="00913131">
      <w:pPr>
        <w:jc w:val="both"/>
        <w:rPr>
          <w:sz w:val="28"/>
          <w:lang w:val="en-US"/>
        </w:rPr>
      </w:pPr>
    </w:p>
    <w:p w:rsidR="002B7014" w:rsidRPr="00587557" w:rsidRDefault="002B7014" w:rsidP="00913131">
      <w:pPr>
        <w:jc w:val="both"/>
        <w:rPr>
          <w:sz w:val="28"/>
          <w:lang w:val="en-US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BE444A" w:rsidRPr="00682886" w:rsidRDefault="00BE444A" w:rsidP="00BE44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А.В. Баранов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CE7D7A" w:rsidRPr="00682886" w:rsidRDefault="00CE7D7A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C94D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01C7"/>
    <w:rsid w:val="000019AA"/>
    <w:rsid w:val="00007ED1"/>
    <w:rsid w:val="00010077"/>
    <w:rsid w:val="00011670"/>
    <w:rsid w:val="00014C58"/>
    <w:rsid w:val="000158CF"/>
    <w:rsid w:val="00017067"/>
    <w:rsid w:val="00023979"/>
    <w:rsid w:val="00032D20"/>
    <w:rsid w:val="00036500"/>
    <w:rsid w:val="00053DE1"/>
    <w:rsid w:val="000878CE"/>
    <w:rsid w:val="000A14C6"/>
    <w:rsid w:val="000A5332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2DDC"/>
    <w:rsid w:val="001347B0"/>
    <w:rsid w:val="0014526F"/>
    <w:rsid w:val="00157683"/>
    <w:rsid w:val="00162714"/>
    <w:rsid w:val="001628D6"/>
    <w:rsid w:val="001655F0"/>
    <w:rsid w:val="0017232D"/>
    <w:rsid w:val="00182A00"/>
    <w:rsid w:val="00192C8B"/>
    <w:rsid w:val="001A01CD"/>
    <w:rsid w:val="001A2DA8"/>
    <w:rsid w:val="001A51FF"/>
    <w:rsid w:val="001A5311"/>
    <w:rsid w:val="001A5E76"/>
    <w:rsid w:val="001A75E4"/>
    <w:rsid w:val="001A7C59"/>
    <w:rsid w:val="001B0D67"/>
    <w:rsid w:val="001B7865"/>
    <w:rsid w:val="001C039A"/>
    <w:rsid w:val="001C12BC"/>
    <w:rsid w:val="001C396C"/>
    <w:rsid w:val="001C6123"/>
    <w:rsid w:val="001D436E"/>
    <w:rsid w:val="001F4AA9"/>
    <w:rsid w:val="001F5527"/>
    <w:rsid w:val="002049B6"/>
    <w:rsid w:val="00204B2F"/>
    <w:rsid w:val="0020582D"/>
    <w:rsid w:val="00212052"/>
    <w:rsid w:val="002217E7"/>
    <w:rsid w:val="00224B95"/>
    <w:rsid w:val="00235CE5"/>
    <w:rsid w:val="00243261"/>
    <w:rsid w:val="00245A48"/>
    <w:rsid w:val="00253D3A"/>
    <w:rsid w:val="00254C39"/>
    <w:rsid w:val="00256C27"/>
    <w:rsid w:val="00272115"/>
    <w:rsid w:val="002726D8"/>
    <w:rsid w:val="002922ED"/>
    <w:rsid w:val="00292FE7"/>
    <w:rsid w:val="00293E31"/>
    <w:rsid w:val="00296536"/>
    <w:rsid w:val="002A5488"/>
    <w:rsid w:val="002B7014"/>
    <w:rsid w:val="002C4D66"/>
    <w:rsid w:val="002E4931"/>
    <w:rsid w:val="0030467D"/>
    <w:rsid w:val="00320BE6"/>
    <w:rsid w:val="00325E2E"/>
    <w:rsid w:val="00332759"/>
    <w:rsid w:val="00340A04"/>
    <w:rsid w:val="00342667"/>
    <w:rsid w:val="003512E7"/>
    <w:rsid w:val="00351D4E"/>
    <w:rsid w:val="00370001"/>
    <w:rsid w:val="00371474"/>
    <w:rsid w:val="00372139"/>
    <w:rsid w:val="00383E11"/>
    <w:rsid w:val="00385608"/>
    <w:rsid w:val="00391A9D"/>
    <w:rsid w:val="003A0D6A"/>
    <w:rsid w:val="003A7567"/>
    <w:rsid w:val="003A7939"/>
    <w:rsid w:val="003B19DC"/>
    <w:rsid w:val="003B26E5"/>
    <w:rsid w:val="003C6352"/>
    <w:rsid w:val="003D61DD"/>
    <w:rsid w:val="003F4993"/>
    <w:rsid w:val="00401AA6"/>
    <w:rsid w:val="00432396"/>
    <w:rsid w:val="00442A1B"/>
    <w:rsid w:val="0044650A"/>
    <w:rsid w:val="0045794F"/>
    <w:rsid w:val="00461643"/>
    <w:rsid w:val="00464C50"/>
    <w:rsid w:val="00470D80"/>
    <w:rsid w:val="00476475"/>
    <w:rsid w:val="00485427"/>
    <w:rsid w:val="004857B7"/>
    <w:rsid w:val="00495588"/>
    <w:rsid w:val="004A10A3"/>
    <w:rsid w:val="004B17E8"/>
    <w:rsid w:val="004B2454"/>
    <w:rsid w:val="004B6593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87557"/>
    <w:rsid w:val="00596D3A"/>
    <w:rsid w:val="005B00CD"/>
    <w:rsid w:val="005B771A"/>
    <w:rsid w:val="005C1419"/>
    <w:rsid w:val="005C268D"/>
    <w:rsid w:val="005C4F94"/>
    <w:rsid w:val="005D2CF6"/>
    <w:rsid w:val="005E3477"/>
    <w:rsid w:val="005F24B1"/>
    <w:rsid w:val="00621A5C"/>
    <w:rsid w:val="006242AB"/>
    <w:rsid w:val="006245AF"/>
    <w:rsid w:val="00626675"/>
    <w:rsid w:val="00633817"/>
    <w:rsid w:val="0064472D"/>
    <w:rsid w:val="00653FF6"/>
    <w:rsid w:val="006613D9"/>
    <w:rsid w:val="0067115E"/>
    <w:rsid w:val="00682886"/>
    <w:rsid w:val="006B7FF6"/>
    <w:rsid w:val="006C390A"/>
    <w:rsid w:val="006E5FF5"/>
    <w:rsid w:val="006F087E"/>
    <w:rsid w:val="00720965"/>
    <w:rsid w:val="007227B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3733"/>
    <w:rsid w:val="007E428F"/>
    <w:rsid w:val="00801CD5"/>
    <w:rsid w:val="0080261A"/>
    <w:rsid w:val="00805445"/>
    <w:rsid w:val="008164F1"/>
    <w:rsid w:val="00825840"/>
    <w:rsid w:val="0084498F"/>
    <w:rsid w:val="0085245E"/>
    <w:rsid w:val="008672C4"/>
    <w:rsid w:val="00871587"/>
    <w:rsid w:val="008940C2"/>
    <w:rsid w:val="008C05FD"/>
    <w:rsid w:val="008C22E0"/>
    <w:rsid w:val="008C5559"/>
    <w:rsid w:val="008C6665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74647"/>
    <w:rsid w:val="00982945"/>
    <w:rsid w:val="00996276"/>
    <w:rsid w:val="009A14FB"/>
    <w:rsid w:val="009A64A3"/>
    <w:rsid w:val="009B2512"/>
    <w:rsid w:val="009D7221"/>
    <w:rsid w:val="009E6A90"/>
    <w:rsid w:val="009F0EF4"/>
    <w:rsid w:val="009F1380"/>
    <w:rsid w:val="009F5435"/>
    <w:rsid w:val="009F6697"/>
    <w:rsid w:val="00A05880"/>
    <w:rsid w:val="00A07DD3"/>
    <w:rsid w:val="00A12C81"/>
    <w:rsid w:val="00A147F0"/>
    <w:rsid w:val="00A17BD5"/>
    <w:rsid w:val="00A22B9F"/>
    <w:rsid w:val="00A370C5"/>
    <w:rsid w:val="00A40AC0"/>
    <w:rsid w:val="00A42ED0"/>
    <w:rsid w:val="00A71D4D"/>
    <w:rsid w:val="00A72E97"/>
    <w:rsid w:val="00A75C20"/>
    <w:rsid w:val="00AA7E22"/>
    <w:rsid w:val="00AC3F60"/>
    <w:rsid w:val="00AC7D0E"/>
    <w:rsid w:val="00AD7FEF"/>
    <w:rsid w:val="00AE0860"/>
    <w:rsid w:val="00AE5AFA"/>
    <w:rsid w:val="00AF39E2"/>
    <w:rsid w:val="00B037A8"/>
    <w:rsid w:val="00B04A53"/>
    <w:rsid w:val="00B141AA"/>
    <w:rsid w:val="00B16FC4"/>
    <w:rsid w:val="00B36156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BE444A"/>
    <w:rsid w:val="00BF53BD"/>
    <w:rsid w:val="00C029C5"/>
    <w:rsid w:val="00C035EB"/>
    <w:rsid w:val="00C14399"/>
    <w:rsid w:val="00C17786"/>
    <w:rsid w:val="00C17C72"/>
    <w:rsid w:val="00C20783"/>
    <w:rsid w:val="00C21FEE"/>
    <w:rsid w:val="00C262F2"/>
    <w:rsid w:val="00C505B5"/>
    <w:rsid w:val="00C57D35"/>
    <w:rsid w:val="00C661AC"/>
    <w:rsid w:val="00C871FF"/>
    <w:rsid w:val="00C94D56"/>
    <w:rsid w:val="00CA556A"/>
    <w:rsid w:val="00CB1439"/>
    <w:rsid w:val="00CB3F24"/>
    <w:rsid w:val="00CD394B"/>
    <w:rsid w:val="00CD3F0F"/>
    <w:rsid w:val="00CD5C1C"/>
    <w:rsid w:val="00CD7B88"/>
    <w:rsid w:val="00CE4FC8"/>
    <w:rsid w:val="00CE7D7A"/>
    <w:rsid w:val="00CF1144"/>
    <w:rsid w:val="00D021B4"/>
    <w:rsid w:val="00D05A3E"/>
    <w:rsid w:val="00D11A88"/>
    <w:rsid w:val="00D149A4"/>
    <w:rsid w:val="00D2010C"/>
    <w:rsid w:val="00D35A6D"/>
    <w:rsid w:val="00D51DC3"/>
    <w:rsid w:val="00D6278D"/>
    <w:rsid w:val="00D638C7"/>
    <w:rsid w:val="00D75120"/>
    <w:rsid w:val="00D7696B"/>
    <w:rsid w:val="00D77FB7"/>
    <w:rsid w:val="00DA63CD"/>
    <w:rsid w:val="00DB6282"/>
    <w:rsid w:val="00DC0E64"/>
    <w:rsid w:val="00DC6E76"/>
    <w:rsid w:val="00DE34CC"/>
    <w:rsid w:val="00DF4261"/>
    <w:rsid w:val="00E03776"/>
    <w:rsid w:val="00E10AF6"/>
    <w:rsid w:val="00E14A58"/>
    <w:rsid w:val="00E2120B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C671C"/>
    <w:rsid w:val="00ED2F96"/>
    <w:rsid w:val="00ED4C4C"/>
    <w:rsid w:val="00ED7446"/>
    <w:rsid w:val="00EE1156"/>
    <w:rsid w:val="00EE2BB0"/>
    <w:rsid w:val="00EE3F51"/>
    <w:rsid w:val="00EE7EBD"/>
    <w:rsid w:val="00EF2237"/>
    <w:rsid w:val="00F0794D"/>
    <w:rsid w:val="00F26317"/>
    <w:rsid w:val="00F276E5"/>
    <w:rsid w:val="00F33573"/>
    <w:rsid w:val="00F37327"/>
    <w:rsid w:val="00F46464"/>
    <w:rsid w:val="00F52803"/>
    <w:rsid w:val="00F53E39"/>
    <w:rsid w:val="00F639BB"/>
    <w:rsid w:val="00F64E15"/>
    <w:rsid w:val="00F764D0"/>
    <w:rsid w:val="00F87B30"/>
    <w:rsid w:val="00F96C5E"/>
    <w:rsid w:val="00FA07A2"/>
    <w:rsid w:val="00FB1B20"/>
    <w:rsid w:val="00FB763F"/>
    <w:rsid w:val="00FB7B55"/>
    <w:rsid w:val="00FC7257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1713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F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A1B9C-F1D8-4E02-969E-A712F2AA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Дубінін Олександр Васильович</cp:lastModifiedBy>
  <cp:revision>4</cp:revision>
  <cp:lastPrinted>2020-10-21T12:40:00Z</cp:lastPrinted>
  <dcterms:created xsi:type="dcterms:W3CDTF">2020-10-21T12:27:00Z</dcterms:created>
  <dcterms:modified xsi:type="dcterms:W3CDTF">2020-10-21T12:41:00Z</dcterms:modified>
</cp:coreProperties>
</file>