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B52995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B52995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52995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354D93" w:rsidRPr="00B52995" w:rsidRDefault="00354D93" w:rsidP="0080167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B52995">
              <w:rPr>
                <w:bCs/>
                <w:sz w:val="28"/>
                <w:szCs w:val="28"/>
                <w:lang w:val="uk-UA"/>
              </w:rPr>
              <w:br/>
              <w:t>по 3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вересня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201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354D93" w:rsidRPr="00B52995" w:rsidRDefault="00354D93" w:rsidP="008016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>від</w:t>
            </w:r>
            <w:r w:rsidRPr="00B52995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31 жовтня 2018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4059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- МР        </w:t>
            </w:r>
          </w:p>
        </w:tc>
      </w:tr>
    </w:tbl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>
        <w:rPr>
          <w:b/>
          <w:sz w:val="28"/>
          <w:szCs w:val="28"/>
          <w:u w:val="single"/>
          <w:lang w:val="uk-UA"/>
        </w:rPr>
        <w:t xml:space="preserve">30 вересня </w:t>
      </w:r>
      <w:r w:rsidRPr="00DC0304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Pr="00DC0304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8</w:t>
      </w:r>
      <w:r w:rsidRPr="00DC0304">
        <w:rPr>
          <w:sz w:val="28"/>
          <w:szCs w:val="28"/>
          <w:u w:val="single"/>
        </w:rPr>
        <w:t>р.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>
        <w:rPr>
          <w:sz w:val="28"/>
          <w:szCs w:val="28"/>
          <w:lang w:val="uk-UA"/>
        </w:rPr>
        <w:t>30 вересня</w:t>
      </w:r>
      <w:r w:rsidRPr="00DC030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57 989,14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30 вересня 2018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   57 989,14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354D93" w:rsidP="00ED7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36 118,18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ED7315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38231D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ED7315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54D93">
              <w:rPr>
                <w:sz w:val="28"/>
                <w:szCs w:val="28"/>
                <w:lang w:val="uk-UA"/>
              </w:rPr>
              <w:t>21 870,96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>
        <w:rPr>
          <w:sz w:val="28"/>
          <w:szCs w:val="28"/>
          <w:lang w:val="uk-UA"/>
        </w:rPr>
        <w:t>10</w:t>
      </w:r>
      <w:r w:rsidRPr="00DC030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О.М. Лисенко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proofErr w:type="spellStart"/>
      <w:r>
        <w:rPr>
          <w:bCs/>
          <w:sz w:val="26"/>
          <w:szCs w:val="26"/>
          <w:lang w:val="uk-UA"/>
        </w:rPr>
        <w:t>Цилюрик</w:t>
      </w:r>
      <w:proofErr w:type="spellEnd"/>
      <w:r>
        <w:rPr>
          <w:bCs/>
          <w:sz w:val="26"/>
          <w:szCs w:val="26"/>
          <w:lang w:val="uk-UA"/>
        </w:rPr>
        <w:t xml:space="preserve"> В.В.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5A55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237950"/>
    <w:rsid w:val="00354D93"/>
    <w:rsid w:val="005A5576"/>
    <w:rsid w:val="005E35F6"/>
    <w:rsid w:val="00E90D23"/>
    <w:rsid w:val="00E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4</cp:revision>
  <cp:lastPrinted>2018-11-01T11:35:00Z</cp:lastPrinted>
  <dcterms:created xsi:type="dcterms:W3CDTF">2018-11-01T08:40:00Z</dcterms:created>
  <dcterms:modified xsi:type="dcterms:W3CDTF">2018-11-01T12:12:00Z</dcterms:modified>
</cp:coreProperties>
</file>