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45" w:rsidRPr="00C81B24" w:rsidRDefault="00646945" w:rsidP="004E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46945" w:rsidRPr="00C81B24" w:rsidRDefault="00C81B24" w:rsidP="004E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>ро періодичне відстеження рішення Сумсь</w:t>
      </w:r>
      <w:r w:rsidR="007D0FF7">
        <w:rPr>
          <w:rFonts w:ascii="Times New Roman" w:hAnsi="Times New Roman" w:cs="Times New Roman"/>
          <w:b/>
          <w:sz w:val="28"/>
          <w:szCs w:val="28"/>
          <w:lang w:val="uk-UA"/>
        </w:rPr>
        <w:t>кої міської рад</w:t>
      </w:r>
      <w:bookmarkStart w:id="0" w:name="_GoBack"/>
      <w:bookmarkEnd w:id="0"/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и від 29.04.2009</w:t>
      </w:r>
    </w:p>
    <w:p w:rsidR="00646945" w:rsidRPr="00C81B24" w:rsidRDefault="00C81B24" w:rsidP="004E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>2588-МР «Про затвердження Правил утримання будинків, споруд та</w:t>
      </w:r>
    </w:p>
    <w:p w:rsidR="00646945" w:rsidRPr="00C81B24" w:rsidRDefault="00646945" w:rsidP="004E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прибудинкових територій в місті Суми»</w:t>
      </w:r>
    </w:p>
    <w:p w:rsidR="00C81B24" w:rsidRPr="00C81B24" w:rsidRDefault="00C81B24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Рішення (Сумської міської ради від 29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2009 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2588-МР «Про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Правил утримання 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, спор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уд та прибудинкових територій в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місті Суми»</w:t>
      </w:r>
    </w:p>
    <w:p w:rsidR="00C81B24" w:rsidRPr="00C81B24" w:rsidRDefault="00C81B24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2. Виконавець заходів з відстеження:</w:t>
      </w: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C81B24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прийняття </w:t>
      </w:r>
      <w:proofErr w:type="spellStart"/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надання послуг з утримання житлових будинків,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споруд і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прибудинкових територій, що знаходяться на території міста Суми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незалежно від форми власності для забезпечення нормального функціонування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житлових будівель та прибудинкових територій протягом усього періоду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використання за призначенням, а також для проведення єдиної політики в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житловій сфері, що забезпечує виконання вимог чинних нормативів з утримання,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поточного і капітального ремонту житлових будинків та прибудинкових територій,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у відповідності до Закону України «Про житлово-комунальні послуги», Наказу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Держжитлокомунгоспу України від 17.05.05</w:t>
      </w:r>
      <w:r w:rsidR="00C81B24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М» 76 «Про затвердження Правил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утримання жилих будинків та прибудинкових територій».</w:t>
      </w:r>
    </w:p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4. Строк виконання заходів з відстеження:</w:t>
      </w:r>
    </w:p>
    <w:p w:rsidR="00646945" w:rsidRPr="00C81B24" w:rsidRDefault="00C81B24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13.05.2023 – 12.05.2023</w:t>
      </w:r>
    </w:p>
    <w:p w:rsidR="00C81B24" w:rsidRPr="00C81B24" w:rsidRDefault="00C81B24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C81B24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6945" w:rsidRPr="00C81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відстеження:</w:t>
      </w: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</w:t>
      </w:r>
    </w:p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b/>
          <w:sz w:val="28"/>
          <w:szCs w:val="28"/>
          <w:lang w:val="uk-UA"/>
        </w:rPr>
        <w:t>6.Метод одержання результатів відстеження:</w:t>
      </w:r>
    </w:p>
    <w:p w:rsidR="00646945" w:rsidRPr="00C81B24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Статистичний</w:t>
      </w:r>
    </w:p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083708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Дані та припущення, на основі яких </w:t>
      </w:r>
      <w:r w:rsidR="00C81B24" w:rsidRPr="00083708">
        <w:rPr>
          <w:rFonts w:ascii="Times New Roman" w:hAnsi="Times New Roman" w:cs="Times New Roman"/>
          <w:b/>
          <w:sz w:val="28"/>
          <w:szCs w:val="28"/>
          <w:lang w:val="uk-UA"/>
        </w:rPr>
        <w:t>відстежувалася</w:t>
      </w:r>
      <w:r w:rsidRPr="00083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результативність,</w:t>
      </w:r>
      <w:r w:rsidR="00083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3708">
        <w:rPr>
          <w:rFonts w:ascii="Times New Roman" w:hAnsi="Times New Roman" w:cs="Times New Roman"/>
          <w:b/>
          <w:sz w:val="28"/>
          <w:szCs w:val="28"/>
          <w:lang w:val="uk-UA"/>
        </w:rPr>
        <w:t>а також способи одержання даних:</w:t>
      </w:r>
    </w:p>
    <w:p w:rsidR="00646945" w:rsidRPr="00C81B24" w:rsidRDefault="00E33986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83708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646945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кількісного</w:t>
      </w:r>
      <w:r w:rsidR="0008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945" w:rsidRPr="00C81B24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08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945"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</w:t>
      </w:r>
      <w:r w:rsidR="00083708">
        <w:rPr>
          <w:rFonts w:ascii="Times New Roman" w:hAnsi="Times New Roman" w:cs="Times New Roman"/>
          <w:sz w:val="28"/>
          <w:szCs w:val="28"/>
          <w:lang w:val="uk-UA"/>
        </w:rPr>
        <w:t xml:space="preserve">  показників </w:t>
      </w:r>
      <w:r w:rsidR="00646945" w:rsidRPr="00C81B24">
        <w:rPr>
          <w:rFonts w:ascii="Times New Roman" w:hAnsi="Times New Roman" w:cs="Times New Roman"/>
          <w:sz w:val="28"/>
          <w:szCs w:val="28"/>
          <w:lang w:val="uk-UA"/>
        </w:rPr>
        <w:t>результативності використовувалися дані департаменту інфраструктури міста</w:t>
      </w:r>
    </w:p>
    <w:p w:rsidR="00646945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083708" w:rsidRPr="00C81B24" w:rsidRDefault="00083708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Default="00646945" w:rsidP="004917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708">
        <w:rPr>
          <w:rFonts w:ascii="Times New Roman" w:hAnsi="Times New Roman" w:cs="Times New Roman"/>
          <w:b/>
          <w:sz w:val="28"/>
          <w:szCs w:val="28"/>
          <w:lang w:val="uk-UA"/>
        </w:rPr>
        <w:t>8. Кількісні та якісні значення показників: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083708" w:rsidTr="00083708">
        <w:tc>
          <w:tcPr>
            <w:tcW w:w="704" w:type="dxa"/>
            <w:vAlign w:val="center"/>
          </w:tcPr>
          <w:p w:rsidR="00083708" w:rsidRDefault="00083708" w:rsidP="004E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083708" w:rsidRDefault="00083708" w:rsidP="004E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vAlign w:val="center"/>
          </w:tcPr>
          <w:p w:rsidR="00083708" w:rsidRDefault="00083708" w:rsidP="004E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695" w:type="dxa"/>
            <w:vAlign w:val="center"/>
          </w:tcPr>
          <w:p w:rsidR="00083708" w:rsidRDefault="00083708" w:rsidP="004E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</w:tr>
      <w:tr w:rsidR="00083708" w:rsidTr="00083708">
        <w:tc>
          <w:tcPr>
            <w:tcW w:w="704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083708" w:rsidRDefault="00083708" w:rsidP="004E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правил з утримання будинків,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 та прибудинкових територій в місті Суми</w:t>
            </w:r>
          </w:p>
        </w:tc>
        <w:tc>
          <w:tcPr>
            <w:tcW w:w="1695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</w:tr>
      <w:tr w:rsidR="00083708" w:rsidTr="00083708">
        <w:tc>
          <w:tcPr>
            <w:tcW w:w="704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083708" w:rsidRDefault="00083708" w:rsidP="00B02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="00B021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зв'язку зі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 чинно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законодавства (Закон України</w:t>
            </w:r>
            <w:r w:rsidR="00B0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особливості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права 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 у багатоквартирному будинку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695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</w:tr>
      <w:tr w:rsidR="00083708" w:rsidTr="00083708">
        <w:tc>
          <w:tcPr>
            <w:tcW w:w="704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083708" w:rsidRPr="00B0214A" w:rsidRDefault="00CA7FCE" w:rsidP="004E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у зв'язку зі змінами 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(Закону України</w:t>
            </w:r>
            <w:r w:rsidR="00B0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житлово-комунальні послуги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8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5" w:type="dxa"/>
            <w:vAlign w:val="center"/>
          </w:tcPr>
          <w:p w:rsidR="00083708" w:rsidRPr="00083708" w:rsidRDefault="00083708" w:rsidP="004E7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</w:tr>
    </w:tbl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C81B24" w:rsidRDefault="00646945" w:rsidP="00B02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Показниками результативності є використання правил що регламентують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порядок надання послуг з утримання житлових будинків, споруд і прибудинкових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територій, в тому числі гуртожитків, будинків для проживання малих сімей тощо,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що знаходяться на території міста Суми незалежно від форми власності для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забезпечення нормального функціонування житлових будівель та пр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будинкових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протягом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усього періоду їх використання за призначенням, а також для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проведення єдиної технічної політики в житловій сфері, що забезпечує виконання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вимог чинних нормативів з утримання, </w:t>
      </w:r>
      <w:r w:rsidR="004E772E" w:rsidRPr="00C81B24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B021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житлових</w:t>
      </w:r>
      <w:r w:rsidR="00B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будинків та прибудинкових територій. </w:t>
      </w:r>
    </w:p>
    <w:p w:rsidR="00646945" w:rsidRPr="00C81B24" w:rsidRDefault="00646945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945" w:rsidRPr="004E772E" w:rsidRDefault="00646945" w:rsidP="004E7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4E772E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E7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ступеня</w:t>
      </w:r>
      <w:r w:rsidR="004E7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72E">
        <w:rPr>
          <w:rFonts w:ascii="Times New Roman" w:hAnsi="Times New Roman" w:cs="Times New Roman"/>
          <w:b/>
          <w:sz w:val="28"/>
          <w:szCs w:val="28"/>
          <w:lang w:val="uk-UA"/>
        </w:rPr>
        <w:t>досягнення визначених ціле</w:t>
      </w:r>
      <w:r w:rsidR="004E772E">
        <w:rPr>
          <w:rFonts w:ascii="Times New Roman" w:hAnsi="Times New Roman" w:cs="Times New Roman"/>
          <w:b/>
          <w:sz w:val="28"/>
          <w:szCs w:val="28"/>
          <w:lang w:val="uk-UA"/>
        </w:rPr>
        <w:t>й:</w:t>
      </w:r>
    </w:p>
    <w:p w:rsidR="00646945" w:rsidRPr="00C81B24" w:rsidRDefault="00646945" w:rsidP="00B02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Рішенням встановлені правила та термінологія з утримання житлових</w:t>
      </w:r>
      <w:r w:rsidR="00B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будинків, споруд і прибудинкових територій. Завдяки даному регуляторному акту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підвищилась інформованість підприємств надавачів послуг та споживача, до яких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встановлені вимоги та правила, але зміни що відбулися у чинному законодавстві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е дають можливість повністю реалізовувати даний регуляторний акт.</w:t>
      </w:r>
    </w:p>
    <w:p w:rsidR="00646945" w:rsidRDefault="00646945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24">
        <w:rPr>
          <w:rFonts w:ascii="Times New Roman" w:hAnsi="Times New Roman" w:cs="Times New Roman"/>
          <w:sz w:val="28"/>
          <w:szCs w:val="28"/>
          <w:lang w:val="uk-UA"/>
        </w:rPr>
        <w:t>Відповідно до ст. 10 Закону України «Про засади державної регуляторної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 с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 при проведенні періодичного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р</w:t>
      </w:r>
      <w:r w:rsidR="00B0214A">
        <w:rPr>
          <w:rFonts w:ascii="Times New Roman" w:hAnsi="Times New Roman" w:cs="Times New Roman"/>
          <w:sz w:val="28"/>
          <w:szCs w:val="28"/>
          <w:lang w:val="uk-UA"/>
        </w:rPr>
        <w:t xml:space="preserve">ішення Сумської міської ради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затвердження Правил утримання будинків, спор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уд та прибудинкових територій в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місті Суми» (можна зробити висновок, що даний регуляторний акт не має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достатнього ступеню досягнення визначених цілей у зв'язку зі змінами до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законодавства, у зв'язку з цим до вказаного рішення. мають бути внесені зміни та</w:t>
      </w:r>
      <w:r w:rsidR="004E7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24">
        <w:rPr>
          <w:rFonts w:ascii="Times New Roman" w:hAnsi="Times New Roman" w:cs="Times New Roman"/>
          <w:sz w:val="28"/>
          <w:szCs w:val="28"/>
          <w:lang w:val="uk-UA"/>
        </w:rPr>
        <w:t>доповнення.</w:t>
      </w:r>
    </w:p>
    <w:p w:rsidR="00665A56" w:rsidRDefault="00665A56" w:rsidP="004E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E772E" w:rsidTr="004E772E">
        <w:tc>
          <w:tcPr>
            <w:tcW w:w="4955" w:type="dxa"/>
          </w:tcPr>
          <w:p w:rsidR="004E772E" w:rsidRPr="004E772E" w:rsidRDefault="004E772E" w:rsidP="004E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Сумський міський голова</w:t>
            </w:r>
          </w:p>
        </w:tc>
        <w:tc>
          <w:tcPr>
            <w:tcW w:w="4956" w:type="dxa"/>
          </w:tcPr>
          <w:p w:rsidR="004E772E" w:rsidRPr="004E772E" w:rsidRDefault="004E772E" w:rsidP="004E77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ЛИСЕНКО</w:t>
            </w:r>
          </w:p>
        </w:tc>
      </w:tr>
      <w:tr w:rsidR="004E772E" w:rsidTr="004E772E">
        <w:tc>
          <w:tcPr>
            <w:tcW w:w="4955" w:type="dxa"/>
          </w:tcPr>
          <w:p w:rsidR="004E772E" w:rsidRDefault="004E772E" w:rsidP="004E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</w:tcPr>
          <w:p w:rsidR="004E772E" w:rsidRDefault="004E772E" w:rsidP="004E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72E" w:rsidTr="004E772E">
        <w:tc>
          <w:tcPr>
            <w:tcW w:w="4955" w:type="dxa"/>
          </w:tcPr>
          <w:p w:rsidR="00665A56" w:rsidRDefault="00665A56" w:rsidP="004E772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4E772E" w:rsidRPr="004E772E" w:rsidRDefault="004E772E" w:rsidP="004E7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772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Олександр Журба 700-590</w:t>
            </w:r>
          </w:p>
        </w:tc>
        <w:tc>
          <w:tcPr>
            <w:tcW w:w="4956" w:type="dxa"/>
          </w:tcPr>
          <w:p w:rsidR="004E772E" w:rsidRDefault="004E772E" w:rsidP="004E7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5A56" w:rsidRDefault="00665A56" w:rsidP="004E7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A56" w:rsidSect="004E77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8B"/>
    <w:rsid w:val="00083708"/>
    <w:rsid w:val="003D798B"/>
    <w:rsid w:val="0049179B"/>
    <w:rsid w:val="004E772E"/>
    <w:rsid w:val="00504F37"/>
    <w:rsid w:val="00646945"/>
    <w:rsid w:val="00665A56"/>
    <w:rsid w:val="007D0FF7"/>
    <w:rsid w:val="00A00129"/>
    <w:rsid w:val="00B0214A"/>
    <w:rsid w:val="00C81B24"/>
    <w:rsid w:val="00CA7FCE"/>
    <w:rsid w:val="00E0730D"/>
    <w:rsid w:val="00E33986"/>
    <w:rsid w:val="00FB4F38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947"/>
  <w15:chartTrackingRefBased/>
  <w15:docId w15:val="{0CDBE43E-4E87-4677-B20C-A61DECD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Наталія Миколаївна</dc:creator>
  <cp:keywords/>
  <dc:description/>
  <cp:lastModifiedBy>Ткачова Маргарита Валентинівна</cp:lastModifiedBy>
  <cp:revision>10</cp:revision>
  <cp:lastPrinted>2023-06-19T12:29:00Z</cp:lastPrinted>
  <dcterms:created xsi:type="dcterms:W3CDTF">2023-06-16T08:32:00Z</dcterms:created>
  <dcterms:modified xsi:type="dcterms:W3CDTF">2023-06-27T07:42:00Z</dcterms:modified>
</cp:coreProperties>
</file>