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C1" w:rsidRPr="002079C1" w:rsidRDefault="002079C1" w:rsidP="0020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ЗВІТ</w:t>
      </w:r>
    </w:p>
    <w:p w:rsidR="002079C1" w:rsidRPr="002079C1" w:rsidRDefault="002079C1" w:rsidP="0020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базове відстеження результативності регуляторного акта – </w:t>
      </w:r>
    </w:p>
    <w:p w:rsidR="002079C1" w:rsidRPr="002079C1" w:rsidRDefault="002079C1" w:rsidP="0020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</w:t>
      </w:r>
      <w:r w:rsidR="00647C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Сумської 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від </w:t>
      </w:r>
      <w:r w:rsidR="00B732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 грудня</w:t>
      </w:r>
      <w:r w:rsidR="00B732AB" w:rsidRPr="00BF0B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F0B08" w:rsidRPr="00BF0B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2020</w:t>
      </w:r>
      <w:r w:rsidR="00B732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BF0B08" w:rsidRPr="00BF0B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74-</w:t>
      </w:r>
      <w:r w:rsidR="00BF0B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МР</w:t>
      </w:r>
    </w:p>
    <w:p w:rsidR="002079C1" w:rsidRPr="002079C1" w:rsidRDefault="002079C1" w:rsidP="00207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</w:t>
      </w:r>
      <w:r w:rsidR="007D0C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встановлення плати за доступ до інфраструктури об’єкта будівництва, транспорту, енергетики, кабельної каналізації електрозв’язку, будинкової розподільної мережі комунальної власності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9C1" w:rsidRPr="002079C1" w:rsidRDefault="002079C1" w:rsidP="004A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val="uk-UA" w:eastAsia="ru-RU"/>
        </w:rPr>
        <w:t xml:space="preserve">1. Вид та назва регуляторного акта, результативність якого відстежується,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val="uk-UA" w:eastAsia="ru-RU"/>
        </w:rPr>
        <w:t>дата його прийняття та номер:</w:t>
      </w:r>
    </w:p>
    <w:p w:rsidR="002079C1" w:rsidRPr="002079C1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Сумської міської ради від </w:t>
      </w:r>
      <w:r w:rsidR="00B73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грудня</w:t>
      </w:r>
      <w:r w:rsidR="00B732AB" w:rsidRPr="00BF0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0B08" w:rsidRPr="00BF0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</w:t>
      </w:r>
      <w:r w:rsidR="00B73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  <w:r w:rsidR="00BF0B08" w:rsidRPr="00BF0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74-МР 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</w:t>
      </w:r>
      <w:r w:rsidR="007D0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встановлення плати за доступ до інфраструктури об’єкта </w:t>
      </w:r>
      <w:r w:rsidR="007D0C5F" w:rsidRPr="007D0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будівництва, транспорту, енергетики, кабельної каналізації електрозв’язку, будинкової розподільної мережі комунальної власності</w:t>
      </w:r>
      <w:r w:rsidR="007D0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079C1" w:rsidRPr="002079C1" w:rsidRDefault="002079C1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9C1" w:rsidRPr="002079C1" w:rsidRDefault="002079C1" w:rsidP="004A0BE5">
      <w:pPr>
        <w:tabs>
          <w:tab w:val="left" w:pos="851"/>
          <w:tab w:val="left" w:pos="993"/>
          <w:tab w:val="left" w:pos="5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Назва виконавця заходів відстеження:</w:t>
      </w:r>
    </w:p>
    <w:p w:rsidR="002079C1" w:rsidRPr="002079C1" w:rsidRDefault="007D0C5F" w:rsidP="002079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 інфраструктури міста Сумської міської ради та відділ транспорту, зв’язку та телекомунікаційних послуг Сумської міської ради.</w:t>
      </w:r>
    </w:p>
    <w:p w:rsidR="002079C1" w:rsidRPr="002079C1" w:rsidRDefault="002079C1" w:rsidP="002079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79C1" w:rsidRPr="002079C1" w:rsidRDefault="002079C1" w:rsidP="004A0B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  <w:t>Цілі прийняття акта:</w:t>
      </w:r>
    </w:p>
    <w:p w:rsidR="002079C1" w:rsidRPr="002079C1" w:rsidRDefault="002079C1" w:rsidP="002079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uk-UA" w:eastAsia="ru-RU"/>
        </w:rPr>
        <w:t>Регуляторний акт прийнято з метою:</w:t>
      </w:r>
    </w:p>
    <w:p w:rsidR="007766AD" w:rsidRPr="007766AD" w:rsidRDefault="007766AD" w:rsidP="007766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7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забезпечення дотримання вимог чинного законодавства;</w:t>
      </w:r>
    </w:p>
    <w:p w:rsidR="007766AD" w:rsidRPr="007766AD" w:rsidRDefault="007766AD" w:rsidP="007766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7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врегулювання питання встановлення плати за доступ та правильністю обрахування плати за доступ до елементів інфраструктури об’єкта доступу;</w:t>
      </w:r>
    </w:p>
    <w:p w:rsidR="007766AD" w:rsidRPr="007766AD" w:rsidRDefault="007766AD" w:rsidP="007766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7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сприяння у забезпеченні механізму організації та забезпечення безперешкодного та недискримінаційного доступу операторів (провайдерів) телекомунікацій, уповноважених ними осіб до елементів і</w:t>
      </w:r>
      <w:r w:rsidR="002D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нфраструктури об’єктів доступу </w:t>
      </w:r>
      <w:r w:rsidRPr="0077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комунальної власності на договірній основі з підприємствами, на балансі яких перебуває ця інфраструктура та у відповідності з відповідними методиками визначення плати за доступ до елементів інфраструктури об’єкта доступу;</w:t>
      </w:r>
    </w:p>
    <w:p w:rsidR="007766AD" w:rsidRPr="007766AD" w:rsidRDefault="007766AD" w:rsidP="007766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7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створення сприятливих умов для функціонування розвитку телекомунікаційних мереж загального користування та повноцінного надання населенню телекомунікаційних послуг;</w:t>
      </w:r>
    </w:p>
    <w:p w:rsidR="007766AD" w:rsidRPr="007766AD" w:rsidRDefault="003328FB" w:rsidP="007766A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організації</w:t>
      </w:r>
      <w:r w:rsidR="007766AD" w:rsidRPr="007766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розвитку інфраструктури об’єкта будівництва, транспорту, енергетики, кабельної каналізації електрозв’язку, будинкової розподільної мережі комунальної власності для розміщення технічних засобів телекомунікацій з метою задоволення потреб населення у телекомунікаційних послугах.</w:t>
      </w:r>
    </w:p>
    <w:p w:rsidR="002079C1" w:rsidRPr="002079C1" w:rsidRDefault="002079C1" w:rsidP="002079C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79C1" w:rsidRPr="002079C1" w:rsidRDefault="002079C1" w:rsidP="004A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Строк виконання заходів з відстеження:</w:t>
      </w:r>
    </w:p>
    <w:p w:rsidR="002079C1" w:rsidRPr="002079C1" w:rsidRDefault="002079C1" w:rsidP="002079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Відстеження результативності цього регуляторного акту здійснювалося з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C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01.06.2021 по 22</w:t>
      </w:r>
      <w:r w:rsidR="00C40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.06.2021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079C1" w:rsidRPr="002079C1" w:rsidRDefault="002079C1" w:rsidP="002079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079C1" w:rsidRPr="002079C1" w:rsidRDefault="002079C1" w:rsidP="004A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5.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Тип відстеження (базове, повторне або періодичне):</w:t>
      </w:r>
    </w:p>
    <w:p w:rsidR="002079C1" w:rsidRPr="002079C1" w:rsidRDefault="002079C1" w:rsidP="00A9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Проводиться базове відстеження.</w:t>
      </w:r>
    </w:p>
    <w:p w:rsidR="0061127C" w:rsidRDefault="0061127C" w:rsidP="004A0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</w:pPr>
    </w:p>
    <w:p w:rsidR="002079C1" w:rsidRPr="002079C1" w:rsidRDefault="002079C1" w:rsidP="004A0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lastRenderedPageBreak/>
        <w:t>6. Методи одержання результатів відстеження:</w:t>
      </w:r>
    </w:p>
    <w:p w:rsidR="002079C1" w:rsidRPr="002079C1" w:rsidRDefault="00650839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проведення базового відстеження даного регуляторного акта застосовувався статистичний метод отримання інформації</w:t>
      </w:r>
      <w:r w:rsidR="002079C1" w:rsidRPr="002079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A93ADF" w:rsidRDefault="00A93ADF" w:rsidP="002079C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2079C1" w:rsidRPr="002079C1" w:rsidRDefault="002079C1" w:rsidP="004A0BE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7. Дані та припущення, на основі яких відстежувалася результативність, а 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також способи одержання даних:</w:t>
      </w:r>
      <w:r w:rsidRPr="002079C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ab/>
      </w:r>
    </w:p>
    <w:p w:rsidR="002079C1" w:rsidRPr="002079C1" w:rsidRDefault="002079C1" w:rsidP="00C4024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Базове відстеження результативності рішення </w:t>
      </w:r>
      <w:r w:rsidR="00C40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73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грудня </w:t>
      </w:r>
      <w:r w:rsidR="00C40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B73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C40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74-МР </w:t>
      </w:r>
      <w:r w:rsidR="00C4024C" w:rsidRPr="00C40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встановлення плати за доступ до інфраструктури об’єкта будівництва, транспорту, енергетики, кабельної каналізації електрозв’язку, будинкової розподільної мережі комунальної власності»</w:t>
      </w:r>
      <w:r w:rsidR="00C40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здійснювалося шляхом аналізу </w:t>
      </w:r>
      <w:r w:rsidR="00A93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надісланої від суб’є</w:t>
      </w:r>
      <w:r w:rsidR="004A0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ктів підприємницької діяльності, </w:t>
      </w:r>
      <w:r w:rsidR="00C40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управителів багатоквартирних житлових будинків </w:t>
      </w:r>
      <w:r w:rsidR="004A0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комунальних підприємств Сумської міської ради </w:t>
      </w:r>
      <w:r w:rsidR="00A93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 по наступним показникам: </w:t>
      </w:r>
    </w:p>
    <w:p w:rsidR="005A6CF8" w:rsidRPr="005A6CF8" w:rsidRDefault="005A6CF8" w:rsidP="004A0BE5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CF8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5A6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суб’єктів господарювання (операторів та провайдерів), які будуть здійснювати доступ до елементів інфраструктури об’єктів доступу;</w:t>
      </w:r>
    </w:p>
    <w:p w:rsidR="005A6CF8" w:rsidRPr="005A6CF8" w:rsidRDefault="005A6CF8" w:rsidP="004A0BE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6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виданих технічних умов з доступу та погоджених власником інфраструктури об’єкта доступу проєктної документації з доступу;</w:t>
      </w:r>
    </w:p>
    <w:p w:rsidR="005A6CF8" w:rsidRPr="005A6CF8" w:rsidRDefault="005A6CF8" w:rsidP="004A0BE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6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укладених договорів з доступу між власником інфраструктури об’єкта доступу та замовником;</w:t>
      </w:r>
    </w:p>
    <w:p w:rsidR="001B18D9" w:rsidRPr="001B18D9" w:rsidRDefault="005A6CF8" w:rsidP="001B18D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6C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договорів з доступу до інфраструктури </w:t>
      </w:r>
      <w:r w:rsidR="0006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об’єкта доступу, які розірвані</w:t>
      </w:r>
      <w:r w:rsidR="001B18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61997" w:rsidRDefault="001B18D9" w:rsidP="001B18D9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C47D03" w:rsidRPr="001B18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озмір надходжень до бюджету</w:t>
      </w:r>
      <w:r w:rsidRPr="001B18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47D03" w:rsidRPr="001B18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B18D9" w:rsidRPr="001B18D9" w:rsidRDefault="001B18D9" w:rsidP="001B18D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79C1" w:rsidRDefault="002079C1" w:rsidP="004A5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8. Кількісні та якісні значення показників результативності акта:</w:t>
      </w:r>
    </w:p>
    <w:p w:rsidR="00274260" w:rsidRDefault="00053604" w:rsidP="0027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Відстеження результативності регуляторного атка здійснюється у встановленому законодавством порядку за наступними показниками з використанням статистичного методу одержання результатів відстеження у період з 24.12.2020 року по 22.06.2021 року.</w:t>
      </w:r>
    </w:p>
    <w:p w:rsidR="00053604" w:rsidRPr="00274260" w:rsidRDefault="00053604" w:rsidP="0027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835"/>
      </w:tblGrid>
      <w:tr w:rsidR="00324210" w:rsidRPr="00C47D03" w:rsidTr="0005360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10" w:rsidRPr="002079C1" w:rsidRDefault="00324210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Показники результативності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10" w:rsidRPr="002079C1" w:rsidRDefault="00324210" w:rsidP="002079C1">
            <w:pPr>
              <w:spacing w:after="0" w:line="240" w:lineRule="auto"/>
              <w:ind w:left="-221" w:right="-107" w:firstLine="22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24.12.2020 по 22.06.2021</w:t>
            </w:r>
          </w:p>
        </w:tc>
      </w:tr>
      <w:tr w:rsidR="00324210" w:rsidRPr="004A0BE5" w:rsidTr="00053604">
        <w:trPr>
          <w:trHeight w:val="83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4210" w:rsidRPr="002079C1" w:rsidRDefault="00324210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Кількість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суб’єктів господарювання (операторів та провайдерів), які будуть здійснювати доступ до елементів інфраструктури об’єктів доступу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210" w:rsidRPr="002079C1" w:rsidRDefault="003675E7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</w:t>
            </w:r>
          </w:p>
        </w:tc>
      </w:tr>
      <w:tr w:rsidR="00324210" w:rsidRPr="004A0BE5" w:rsidTr="00053604">
        <w:trPr>
          <w:trHeight w:val="811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10" w:rsidRPr="002079C1" w:rsidRDefault="00324210" w:rsidP="008E2DB1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 Кількість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виданих технічних умов з доступу та погоджених власником інфраструктури об’єкта доступу проектної документації з доступу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10" w:rsidRPr="002079C1" w:rsidRDefault="00324210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</w:p>
        </w:tc>
      </w:tr>
      <w:tr w:rsidR="000D6A64" w:rsidRPr="004A0BE5" w:rsidTr="0005360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64" w:rsidRPr="002079C1" w:rsidRDefault="000D6A64" w:rsidP="008E2D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Кількість укладених договорів з доступу між власником інфраструктури (уповноваженою особою) об’єкта доступу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64" w:rsidRPr="002079C1" w:rsidRDefault="000D6A64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35</w:t>
            </w:r>
          </w:p>
        </w:tc>
      </w:tr>
      <w:tr w:rsidR="00334F49" w:rsidRPr="004A0BE5" w:rsidTr="0005360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9" w:rsidRPr="002079C1" w:rsidRDefault="00334F49" w:rsidP="005A6C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079C1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  <w:r w:rsidRPr="002079C1">
              <w:rPr>
                <w:rFonts w:ascii="Calibri" w:eastAsia="Calibri" w:hAnsi="Calibri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Кількість договорів з доступу до інфраструктури об’єкта доступу, які розірвані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F49" w:rsidRPr="002079C1" w:rsidRDefault="00334F49" w:rsidP="0020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</w:tr>
      <w:tr w:rsidR="00334F49" w:rsidRPr="00D2248B" w:rsidTr="00053604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49" w:rsidRPr="002079C1" w:rsidRDefault="00334F49" w:rsidP="000666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5. Р</w:t>
            </w:r>
            <w:r w:rsidRPr="00066646">
              <w:rPr>
                <w:rFonts w:ascii="Times New Roman" w:eastAsia="Times New Roman" w:hAnsi="Times New Roman" w:cs="Times New Roman"/>
                <w:lang w:val="uk-UA" w:eastAsia="ru-RU"/>
              </w:rPr>
              <w:t>озмір надходжень до бюджету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Сумської міської </w:t>
            </w:r>
            <w:r w:rsidRPr="00066646">
              <w:rPr>
                <w:rFonts w:ascii="Times New Roman" w:eastAsia="Times New Roman" w:hAnsi="Times New Roman" w:cs="Times New Roman"/>
                <w:lang w:val="uk-UA" w:eastAsia="ru-RU"/>
              </w:rPr>
              <w:t>територіальної громади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49" w:rsidRDefault="00334F49" w:rsidP="0033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–</w:t>
            </w:r>
          </w:p>
        </w:tc>
      </w:tr>
    </w:tbl>
    <w:p w:rsid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079C1" w:rsidRPr="002079C1" w:rsidRDefault="002079C1" w:rsidP="004A0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9. Оцінка результатів реалізації регуляторного акта та ступеня досягнення цілей:</w:t>
      </w:r>
    </w:p>
    <w:p w:rsidR="00FE602F" w:rsidRPr="00FE602F" w:rsidRDefault="00FE602F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Суб’єкти господарювання проінформовані про </w:t>
      </w:r>
      <w:r w:rsidR="00E61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</w:t>
      </w:r>
      <w:r w:rsidRPr="00FE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</w:t>
      </w:r>
      <w:r w:rsidRPr="00FE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встановлення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плати за доступ до інфраструктури об’єкта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будівництва, транспорту, енергетики, кабельної каналізації електрозв’язку, будинкової розподільної мережі комунальної власності» </w:t>
      </w:r>
      <w:r w:rsidRPr="00FE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опублікування на офіційному сайті </w:t>
      </w:r>
      <w:r w:rsidR="00D70A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за Інтернет-посиланням: </w:t>
      </w:r>
      <w:hyperlink r:id="rId7" w:history="1">
        <w:r w:rsidR="00D70A2A" w:rsidRPr="00CB751D">
          <w:rPr>
            <w:rStyle w:val="ab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https://cutt.ly/ovJ8R8o</w:t>
        </w:r>
      </w:hyperlink>
      <w:r w:rsidR="00D70A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hyperlink r:id="rId8" w:history="1">
        <w:r w:rsidR="00D70A2A" w:rsidRPr="00CB751D">
          <w:rPr>
            <w:rStyle w:val="ab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https://cutt.ly/6vJ8xnP</w:t>
        </w:r>
      </w:hyperlink>
      <w:r w:rsidRPr="00FE60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4080" w:rsidRDefault="00C6652B" w:rsidP="00207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Зазначений вище</w:t>
      </w:r>
      <w:r w:rsidR="006C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регуляторний акт діє на невизначене коло осіб, є загальнообов’язковим до застосування на території Сумської міської територіальної громади, відповідає </w:t>
      </w:r>
      <w:r w:rsidR="00FC4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чинному </w:t>
      </w:r>
      <w:r w:rsidR="006C4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законодавству України і є актуальним, оскільки сприяє розвитку добросовісної конкуренції, своєчасному плануванню, максимально ефективному розміщенню телекомунікаційних мереж для всіх зацікав</w:t>
      </w:r>
      <w:r w:rsidR="006B0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лених сторін, зменшенню соціальної напруги серед суб’єктів господарювання</w:t>
      </w:r>
      <w:r w:rsidR="001D4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підвищенню рівня інформованості </w:t>
      </w:r>
      <w:r w:rsidR="00FC4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населення </w:t>
      </w:r>
      <w:r w:rsidR="001D4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норм чинного законодавства України з питань, порушених у регуляторному акті.</w:t>
      </w:r>
    </w:p>
    <w:p w:rsidR="00D915EC" w:rsidRPr="00D915EC" w:rsidRDefault="00D915EC" w:rsidP="002D7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цілому, </w:t>
      </w:r>
      <w:r w:rsidRPr="00D91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ний акт підвищує свідомість суб’</w:t>
      </w:r>
      <w:r w:rsidRPr="00D91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єктів господарювання та громадян щодо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доступу до об’єктів будівництва, транспорту, </w:t>
      </w:r>
      <w:r w:rsidRPr="00D915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енергетики, кабельної каналізації електрозв’язку, будинкової розподільної мережі комунальної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7E3A" w:rsidRPr="002D7E3A" w:rsidRDefault="002D7E3A" w:rsidP="002D7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прийняттям даного регуляторного акту досягнуто задекларованих цілей, які ставились за мету при його прийнятті. Результати реалізації регуляторного акта та ступінь досягнення визначених цілей оцінюється позитивно. Подальше відстеження результативності буде здійснюватися у терміни, визначені законодавством, а саме:</w:t>
      </w:r>
    </w:p>
    <w:p w:rsidR="002D7E3A" w:rsidRPr="002D7E3A" w:rsidRDefault="0061127C" w:rsidP="002D7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2D7E3A" w:rsidRPr="002D7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повторне відстеження результативності регуляторного акта буде здійснено через рік з дня набрання ним чинності, але не пізніше двох років з дня набрання чинності цим актом; </w:t>
      </w:r>
    </w:p>
    <w:p w:rsidR="002D7E3A" w:rsidRDefault="0061127C" w:rsidP="002D7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2D7E3A" w:rsidRPr="002D7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періодичн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відстеження результативності –</w:t>
      </w:r>
      <w:r w:rsidR="002D7E3A" w:rsidRPr="002D7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один раз на кожні три роки починаючи з дня закінчення заходів з повторного відстеження результативності цього акта.</w:t>
      </w:r>
    </w:p>
    <w:p w:rsidR="002D7E3A" w:rsidRDefault="002D7E3A" w:rsidP="002D7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E71" w:rsidRDefault="004C1E7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97F10" w:rsidRPr="002079C1" w:rsidRDefault="00897F10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2248B" w:rsidRDefault="00D2248B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667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B51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2079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17E3" w:rsidRDefault="001217E3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Журба О.І.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9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Яковенко С.В. </w:t>
      </w:r>
    </w:p>
    <w:p w:rsidR="002079C1" w:rsidRPr="002079C1" w:rsidRDefault="002079C1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0B08" w:rsidRDefault="00BF0B08" w:rsidP="0020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Овчаренко Н.М. 700-597</w:t>
      </w:r>
    </w:p>
    <w:p w:rsidR="006A2827" w:rsidRPr="004F44A6" w:rsidRDefault="00E539EB" w:rsidP="004F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Рудика Н.М</w:t>
      </w:r>
      <w:bookmarkStart w:id="0" w:name="_GoBack"/>
      <w:bookmarkEnd w:id="0"/>
      <w:r w:rsidR="002079C1" w:rsidRPr="002079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700-668</w:t>
      </w:r>
    </w:p>
    <w:sectPr w:rsidR="006A2827" w:rsidRPr="004F44A6" w:rsidSect="0035549B">
      <w:pgSz w:w="12240" w:h="15840"/>
      <w:pgMar w:top="709" w:right="6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44" w:rsidRDefault="008C7444" w:rsidP="00562939">
      <w:pPr>
        <w:spacing w:after="0" w:line="240" w:lineRule="auto"/>
      </w:pPr>
      <w:r>
        <w:separator/>
      </w:r>
    </w:p>
  </w:endnote>
  <w:endnote w:type="continuationSeparator" w:id="0">
    <w:p w:rsidR="008C7444" w:rsidRDefault="008C7444" w:rsidP="0056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44" w:rsidRDefault="008C7444" w:rsidP="00562939">
      <w:pPr>
        <w:spacing w:after="0" w:line="240" w:lineRule="auto"/>
      </w:pPr>
      <w:r>
        <w:separator/>
      </w:r>
    </w:p>
  </w:footnote>
  <w:footnote w:type="continuationSeparator" w:id="0">
    <w:p w:rsidR="008C7444" w:rsidRDefault="008C7444" w:rsidP="0056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CD"/>
    <w:multiLevelType w:val="hybridMultilevel"/>
    <w:tmpl w:val="E3921ED6"/>
    <w:lvl w:ilvl="0" w:tplc="E572C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B1681"/>
    <w:multiLevelType w:val="hybridMultilevel"/>
    <w:tmpl w:val="4A0C2456"/>
    <w:lvl w:ilvl="0" w:tplc="F90E32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3A9"/>
    <w:multiLevelType w:val="multilevel"/>
    <w:tmpl w:val="7FA6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58"/>
    <w:rsid w:val="00044009"/>
    <w:rsid w:val="00050098"/>
    <w:rsid w:val="00053604"/>
    <w:rsid w:val="00054E4D"/>
    <w:rsid w:val="00061997"/>
    <w:rsid w:val="00066646"/>
    <w:rsid w:val="000D6A64"/>
    <w:rsid w:val="00100F53"/>
    <w:rsid w:val="001217E3"/>
    <w:rsid w:val="00142CB3"/>
    <w:rsid w:val="001654A0"/>
    <w:rsid w:val="001B18D9"/>
    <w:rsid w:val="001B7170"/>
    <w:rsid w:val="001C1BFB"/>
    <w:rsid w:val="001D180A"/>
    <w:rsid w:val="001D47AF"/>
    <w:rsid w:val="001E0BCD"/>
    <w:rsid w:val="00203636"/>
    <w:rsid w:val="002079C1"/>
    <w:rsid w:val="00274260"/>
    <w:rsid w:val="00291458"/>
    <w:rsid w:val="002940F9"/>
    <w:rsid w:val="002A2908"/>
    <w:rsid w:val="002B6F22"/>
    <w:rsid w:val="002C586B"/>
    <w:rsid w:val="002D3B48"/>
    <w:rsid w:val="002D7E3A"/>
    <w:rsid w:val="002F4F00"/>
    <w:rsid w:val="002F5731"/>
    <w:rsid w:val="002F7A0F"/>
    <w:rsid w:val="002F7D93"/>
    <w:rsid w:val="00311B7E"/>
    <w:rsid w:val="00324210"/>
    <w:rsid w:val="003328FB"/>
    <w:rsid w:val="00334F49"/>
    <w:rsid w:val="0035549B"/>
    <w:rsid w:val="00363918"/>
    <w:rsid w:val="003675E7"/>
    <w:rsid w:val="003844CA"/>
    <w:rsid w:val="00386BAE"/>
    <w:rsid w:val="003A65A2"/>
    <w:rsid w:val="003C48BD"/>
    <w:rsid w:val="003C7DA7"/>
    <w:rsid w:val="003E00E5"/>
    <w:rsid w:val="004351BC"/>
    <w:rsid w:val="0044008C"/>
    <w:rsid w:val="004570EE"/>
    <w:rsid w:val="00483973"/>
    <w:rsid w:val="004A0BE5"/>
    <w:rsid w:val="004A5781"/>
    <w:rsid w:val="004C1E71"/>
    <w:rsid w:val="004E763C"/>
    <w:rsid w:val="004F44A6"/>
    <w:rsid w:val="0052493B"/>
    <w:rsid w:val="00545A44"/>
    <w:rsid w:val="00562939"/>
    <w:rsid w:val="00565ED9"/>
    <w:rsid w:val="005750BB"/>
    <w:rsid w:val="005A658B"/>
    <w:rsid w:val="005A6CF8"/>
    <w:rsid w:val="0061127C"/>
    <w:rsid w:val="00647C11"/>
    <w:rsid w:val="00650839"/>
    <w:rsid w:val="00660CDB"/>
    <w:rsid w:val="00663A4F"/>
    <w:rsid w:val="006A2827"/>
    <w:rsid w:val="006B0B7E"/>
    <w:rsid w:val="006C4080"/>
    <w:rsid w:val="006C460D"/>
    <w:rsid w:val="00737E17"/>
    <w:rsid w:val="007766AD"/>
    <w:rsid w:val="007A316E"/>
    <w:rsid w:val="007D0C5F"/>
    <w:rsid w:val="007D4F5E"/>
    <w:rsid w:val="007F1132"/>
    <w:rsid w:val="00824AB6"/>
    <w:rsid w:val="00840CC5"/>
    <w:rsid w:val="00880852"/>
    <w:rsid w:val="00897F10"/>
    <w:rsid w:val="008A384D"/>
    <w:rsid w:val="008B6211"/>
    <w:rsid w:val="008C24EF"/>
    <w:rsid w:val="008C7444"/>
    <w:rsid w:val="008E2DB1"/>
    <w:rsid w:val="008E592B"/>
    <w:rsid w:val="00946570"/>
    <w:rsid w:val="00950D65"/>
    <w:rsid w:val="009C6812"/>
    <w:rsid w:val="009E5310"/>
    <w:rsid w:val="00A57988"/>
    <w:rsid w:val="00A667AE"/>
    <w:rsid w:val="00A73274"/>
    <w:rsid w:val="00A93ADF"/>
    <w:rsid w:val="00AA2168"/>
    <w:rsid w:val="00AD0302"/>
    <w:rsid w:val="00AE5FB0"/>
    <w:rsid w:val="00B345D5"/>
    <w:rsid w:val="00B43534"/>
    <w:rsid w:val="00B52ACA"/>
    <w:rsid w:val="00B62159"/>
    <w:rsid w:val="00B7038E"/>
    <w:rsid w:val="00B732AB"/>
    <w:rsid w:val="00B81306"/>
    <w:rsid w:val="00BB00E9"/>
    <w:rsid w:val="00BD5DE4"/>
    <w:rsid w:val="00BF0B08"/>
    <w:rsid w:val="00C07C94"/>
    <w:rsid w:val="00C26767"/>
    <w:rsid w:val="00C4024C"/>
    <w:rsid w:val="00C47D03"/>
    <w:rsid w:val="00C6652B"/>
    <w:rsid w:val="00C711CB"/>
    <w:rsid w:val="00CA594D"/>
    <w:rsid w:val="00CA5FA9"/>
    <w:rsid w:val="00CB5137"/>
    <w:rsid w:val="00CD0988"/>
    <w:rsid w:val="00CF21C2"/>
    <w:rsid w:val="00D13C19"/>
    <w:rsid w:val="00D2248B"/>
    <w:rsid w:val="00D346ED"/>
    <w:rsid w:val="00D53D1C"/>
    <w:rsid w:val="00D70A2A"/>
    <w:rsid w:val="00D915EC"/>
    <w:rsid w:val="00DC772A"/>
    <w:rsid w:val="00E17D81"/>
    <w:rsid w:val="00E2687C"/>
    <w:rsid w:val="00E27581"/>
    <w:rsid w:val="00E27706"/>
    <w:rsid w:val="00E523C8"/>
    <w:rsid w:val="00E539EB"/>
    <w:rsid w:val="00E61624"/>
    <w:rsid w:val="00E97B27"/>
    <w:rsid w:val="00EB4CD6"/>
    <w:rsid w:val="00EC0809"/>
    <w:rsid w:val="00EC79E4"/>
    <w:rsid w:val="00ED17DB"/>
    <w:rsid w:val="00EE1E07"/>
    <w:rsid w:val="00EF3C0C"/>
    <w:rsid w:val="00F608D8"/>
    <w:rsid w:val="00F63448"/>
    <w:rsid w:val="00FC4CE4"/>
    <w:rsid w:val="00FC60AF"/>
    <w:rsid w:val="00FE602F"/>
    <w:rsid w:val="00FF35E3"/>
    <w:rsid w:val="00FF4AC2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C198E"/>
  <w15:chartTrackingRefBased/>
  <w15:docId w15:val="{560A7999-5278-4B66-B646-39B4BE5D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E97B27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6C46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629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39"/>
  </w:style>
  <w:style w:type="paragraph" w:styleId="a7">
    <w:name w:val="footer"/>
    <w:basedOn w:val="a"/>
    <w:link w:val="a8"/>
    <w:uiPriority w:val="99"/>
    <w:unhideWhenUsed/>
    <w:rsid w:val="005629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2939"/>
  </w:style>
  <w:style w:type="paragraph" w:styleId="a9">
    <w:name w:val="Balloon Text"/>
    <w:basedOn w:val="a"/>
    <w:link w:val="aa"/>
    <w:uiPriority w:val="99"/>
    <w:semiHidden/>
    <w:unhideWhenUsed/>
    <w:rsid w:val="0056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93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70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6vJ8xn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ovJ8R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Овчаренко Наталія Миколаївна</cp:lastModifiedBy>
  <cp:revision>133</cp:revision>
  <cp:lastPrinted>2021-06-01T11:36:00Z</cp:lastPrinted>
  <dcterms:created xsi:type="dcterms:W3CDTF">2020-10-01T06:44:00Z</dcterms:created>
  <dcterms:modified xsi:type="dcterms:W3CDTF">2021-06-30T11:18:00Z</dcterms:modified>
</cp:coreProperties>
</file>