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18" w:rsidRPr="00831BDF" w:rsidRDefault="008C0F18" w:rsidP="00513C1B">
      <w:pPr>
        <w:tabs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 w:rsidRPr="00831BDF">
        <w:rPr>
          <w:rFonts w:ascii="Times New Roman" w:hAnsi="Times New Roman"/>
          <w:b/>
          <w:sz w:val="28"/>
          <w:szCs w:val="28"/>
        </w:rPr>
        <w:t>ЗВІТ</w:t>
      </w:r>
    </w:p>
    <w:p w:rsidR="00862C5B" w:rsidRPr="00831BDF" w:rsidRDefault="008C0F18" w:rsidP="00513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1BD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31BDF">
        <w:rPr>
          <w:rFonts w:ascii="Times New Roman" w:hAnsi="Times New Roman"/>
          <w:b/>
          <w:sz w:val="28"/>
          <w:szCs w:val="28"/>
          <w:lang w:val="uk-UA"/>
        </w:rPr>
        <w:t xml:space="preserve">періодичне відстеження </w:t>
      </w:r>
      <w:r w:rsidRPr="00831BDF">
        <w:rPr>
          <w:rFonts w:ascii="Times New Roman" w:hAnsi="Times New Roman"/>
          <w:b/>
          <w:sz w:val="28"/>
          <w:szCs w:val="28"/>
          <w:lang w:val="uk-UA"/>
        </w:rPr>
        <w:t xml:space="preserve">результативності регуляторного акту – рішення виконавчого комітету Сумської міської ради від 28.09.2015 </w:t>
      </w:r>
    </w:p>
    <w:p w:rsidR="008C0F18" w:rsidRPr="00831BDF" w:rsidRDefault="008C0F18" w:rsidP="00513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1BDF">
        <w:rPr>
          <w:rFonts w:ascii="Times New Roman" w:hAnsi="Times New Roman"/>
          <w:b/>
          <w:sz w:val="28"/>
          <w:szCs w:val="28"/>
          <w:lang w:val="uk-UA"/>
        </w:rPr>
        <w:t>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</w:t>
      </w: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BDF">
        <w:rPr>
          <w:rFonts w:ascii="Times New Roman" w:hAnsi="Times New Roman"/>
          <w:b/>
          <w:sz w:val="28"/>
          <w:szCs w:val="28"/>
          <w:lang w:val="uk-UA"/>
        </w:rPr>
        <w:t>1.Вид та назва регуляторного акту</w:t>
      </w:r>
      <w:r w:rsidR="00831BDF">
        <w:rPr>
          <w:rFonts w:ascii="Times New Roman" w:hAnsi="Times New Roman"/>
          <w:b/>
          <w:sz w:val="28"/>
          <w:szCs w:val="28"/>
          <w:lang w:val="uk-UA"/>
        </w:rPr>
        <w:t>, результативність якого відстежується</w:t>
      </w:r>
      <w:r w:rsidR="007E3048" w:rsidRPr="00831B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64AD0" w:rsidRDefault="00164AD0" w:rsidP="00E11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831BDF" w:rsidRDefault="008C0F18" w:rsidP="00E11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sz w:val="28"/>
          <w:szCs w:val="28"/>
          <w:lang w:val="uk-UA"/>
        </w:rPr>
        <w:t>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Суми».</w:t>
      </w: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BDF">
        <w:rPr>
          <w:rFonts w:ascii="Times New Roman" w:hAnsi="Times New Roman"/>
          <w:b/>
          <w:sz w:val="28"/>
          <w:szCs w:val="28"/>
          <w:lang w:val="uk-UA"/>
        </w:rPr>
        <w:t>2.Виконавець заходів з відстеження</w:t>
      </w:r>
      <w:r w:rsidR="007E3048" w:rsidRPr="00831B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64AD0" w:rsidRDefault="00164AD0" w:rsidP="003B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831BDF" w:rsidRDefault="008C0F18" w:rsidP="003B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sz w:val="28"/>
          <w:szCs w:val="28"/>
          <w:lang w:val="uk-UA"/>
        </w:rPr>
        <w:t>Департамент фінансів, економіки та інвестицій Сумської міської ради.</w:t>
      </w: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BDF">
        <w:rPr>
          <w:rFonts w:ascii="Times New Roman" w:hAnsi="Times New Roman"/>
          <w:b/>
          <w:sz w:val="28"/>
          <w:szCs w:val="28"/>
          <w:lang w:val="uk-UA"/>
        </w:rPr>
        <w:t>3.Ціль прийняття акта</w:t>
      </w:r>
      <w:r w:rsidR="007E3048" w:rsidRPr="00831B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64AD0" w:rsidRDefault="00164AD0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831BDF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sz w:val="28"/>
          <w:szCs w:val="28"/>
          <w:lang w:val="uk-UA"/>
        </w:rPr>
        <w:t>Основними цілями прийняття даного рішення є:</w:t>
      </w:r>
    </w:p>
    <w:p w:rsidR="008C0F18" w:rsidRPr="00831BDF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sz w:val="28"/>
          <w:szCs w:val="28"/>
          <w:lang w:val="uk-UA"/>
        </w:rPr>
        <w:t>- ефективне використання комунального майна;</w:t>
      </w:r>
    </w:p>
    <w:p w:rsidR="008C0F18" w:rsidRPr="00831BDF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sz w:val="28"/>
          <w:szCs w:val="28"/>
          <w:lang w:val="uk-UA"/>
        </w:rPr>
        <w:t>- зменшення кількості збиткових підприємств;</w:t>
      </w:r>
    </w:p>
    <w:p w:rsidR="008C0F18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sz w:val="28"/>
          <w:szCs w:val="28"/>
          <w:lang w:val="uk-UA"/>
        </w:rPr>
        <w:t>- поповнення міського бюджету.</w:t>
      </w:r>
    </w:p>
    <w:p w:rsidR="00831BDF" w:rsidRPr="00831BDF" w:rsidRDefault="00831BDF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54538E" w:rsidRDefault="00831BDF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38E">
        <w:rPr>
          <w:rFonts w:ascii="Times New Roman" w:hAnsi="Times New Roman"/>
          <w:b/>
          <w:sz w:val="28"/>
          <w:szCs w:val="28"/>
          <w:lang w:val="uk-UA"/>
        </w:rPr>
        <w:t>4. Строк виконання заходів з відстеження:</w:t>
      </w:r>
    </w:p>
    <w:p w:rsidR="00164AD0" w:rsidRDefault="00164AD0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831BDF" w:rsidRDefault="00DA2144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01.06</w:t>
      </w:r>
      <w:r w:rsidR="00AA5751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AA575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C0F18" w:rsidRPr="00831B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="00AA5751">
        <w:rPr>
          <w:rFonts w:ascii="Times New Roman" w:hAnsi="Times New Roman"/>
          <w:sz w:val="28"/>
          <w:szCs w:val="28"/>
          <w:lang w:val="uk-UA"/>
        </w:rPr>
        <w:t>.06</w:t>
      </w:r>
      <w:r w:rsidR="00B46FAB" w:rsidRPr="00831BDF">
        <w:rPr>
          <w:rFonts w:ascii="Times New Roman" w:hAnsi="Times New Roman"/>
          <w:sz w:val="28"/>
          <w:szCs w:val="28"/>
          <w:lang w:val="uk-UA"/>
        </w:rPr>
        <w:t>.20</w:t>
      </w:r>
      <w:r w:rsidR="00AA5751">
        <w:rPr>
          <w:rFonts w:ascii="Times New Roman" w:hAnsi="Times New Roman"/>
          <w:sz w:val="28"/>
          <w:szCs w:val="28"/>
          <w:lang w:val="uk-UA"/>
        </w:rPr>
        <w:t>20</w:t>
      </w: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b/>
          <w:sz w:val="28"/>
          <w:szCs w:val="28"/>
          <w:lang w:val="uk-UA"/>
        </w:rPr>
        <w:t>5.Тип відстеження</w:t>
      </w:r>
      <w:r w:rsidR="007E3048" w:rsidRPr="00831BDF">
        <w:rPr>
          <w:rFonts w:ascii="Times New Roman" w:hAnsi="Times New Roman"/>
          <w:sz w:val="28"/>
          <w:szCs w:val="28"/>
          <w:lang w:val="uk-UA"/>
        </w:rPr>
        <w:t>:</w:t>
      </w:r>
    </w:p>
    <w:p w:rsidR="00164AD0" w:rsidRDefault="00164AD0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831BDF" w:rsidRDefault="00AA5751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Періодичне відстеження</w:t>
      </w: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b/>
          <w:sz w:val="28"/>
          <w:szCs w:val="28"/>
          <w:lang w:val="uk-UA"/>
        </w:rPr>
        <w:t>6.Метод одержання результатів</w:t>
      </w:r>
      <w:r w:rsidR="007E3048" w:rsidRPr="00831BD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831B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4AD0" w:rsidRDefault="00164AD0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831BDF" w:rsidRDefault="008C0F18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sz w:val="28"/>
          <w:szCs w:val="28"/>
          <w:lang w:val="uk-UA"/>
        </w:rPr>
        <w:t>Статистичний</w:t>
      </w: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BDF">
        <w:rPr>
          <w:rFonts w:ascii="Times New Roman" w:hAnsi="Times New Roman"/>
          <w:b/>
          <w:sz w:val="28"/>
          <w:szCs w:val="28"/>
          <w:lang w:val="uk-UA"/>
        </w:rPr>
        <w:t xml:space="preserve">7. Дані та припущення, на основі яких </w:t>
      </w:r>
      <w:r w:rsidR="00566C29">
        <w:rPr>
          <w:rFonts w:ascii="Times New Roman" w:hAnsi="Times New Roman"/>
          <w:b/>
          <w:sz w:val="28"/>
          <w:szCs w:val="28"/>
          <w:lang w:val="uk-UA"/>
        </w:rPr>
        <w:t>відстежувала</w:t>
      </w:r>
      <w:r w:rsidRPr="00831BDF">
        <w:rPr>
          <w:rFonts w:ascii="Times New Roman" w:hAnsi="Times New Roman"/>
          <w:b/>
          <w:sz w:val="28"/>
          <w:szCs w:val="28"/>
          <w:lang w:val="uk-UA"/>
        </w:rPr>
        <w:t>сь результативність</w:t>
      </w:r>
      <w:r w:rsidR="007E3048" w:rsidRPr="00831B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64AD0" w:rsidRDefault="00164AD0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831BDF" w:rsidRDefault="008C0F18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sz w:val="28"/>
          <w:szCs w:val="28"/>
          <w:lang w:val="uk-UA"/>
        </w:rPr>
        <w:t>Показником результативності даного регуляторного акту є:</w:t>
      </w:r>
    </w:p>
    <w:p w:rsidR="008C0F18" w:rsidRPr="00831BDF" w:rsidRDefault="00566C29" w:rsidP="00230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податок на прибуток, тис. гривень</w:t>
      </w:r>
      <w:r w:rsidR="008C0F18" w:rsidRPr="00831BDF">
        <w:rPr>
          <w:rFonts w:ascii="Times New Roman" w:hAnsi="Times New Roman"/>
          <w:sz w:val="28"/>
          <w:szCs w:val="28"/>
          <w:lang w:val="uk-UA"/>
        </w:rPr>
        <w:t>;</w:t>
      </w:r>
    </w:p>
    <w:p w:rsidR="008C0F18" w:rsidRPr="00831BDF" w:rsidRDefault="008C0F18" w:rsidP="00230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sz w:val="28"/>
          <w:szCs w:val="28"/>
          <w:lang w:val="uk-UA"/>
        </w:rPr>
        <w:t>частина чистого прибутку (доходу) за результатами фінансово-гос</w:t>
      </w:r>
      <w:r w:rsidR="00566C29">
        <w:rPr>
          <w:rFonts w:ascii="Times New Roman" w:hAnsi="Times New Roman"/>
          <w:sz w:val="28"/>
          <w:szCs w:val="28"/>
          <w:lang w:val="uk-UA"/>
        </w:rPr>
        <w:t>подарської діяльності, тис. гривень</w:t>
      </w:r>
      <w:r w:rsidRPr="00831BDF">
        <w:rPr>
          <w:rFonts w:ascii="Times New Roman" w:hAnsi="Times New Roman"/>
          <w:sz w:val="28"/>
          <w:szCs w:val="28"/>
          <w:lang w:val="uk-UA"/>
        </w:rPr>
        <w:t>;</w:t>
      </w:r>
    </w:p>
    <w:p w:rsidR="008C0F18" w:rsidRPr="00831BDF" w:rsidRDefault="008C0F18" w:rsidP="00230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1BDF">
        <w:rPr>
          <w:rFonts w:ascii="Times New Roman" w:hAnsi="Times New Roman"/>
          <w:sz w:val="28"/>
          <w:szCs w:val="28"/>
          <w:lang w:val="uk-UA"/>
        </w:rPr>
        <w:t>кількість прибуткових комунальних підпр</w:t>
      </w:r>
      <w:r w:rsidR="00FA701B">
        <w:rPr>
          <w:rFonts w:ascii="Times New Roman" w:hAnsi="Times New Roman"/>
          <w:sz w:val="28"/>
          <w:szCs w:val="28"/>
          <w:lang w:val="uk-UA"/>
        </w:rPr>
        <w:t>иємств від загальної кількості, відсоток.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8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>Кількісні значення показників результативності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  <w:r w:rsidR="00862C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6CC0" w:rsidRPr="00A66CC0" w:rsidRDefault="00A66CC0" w:rsidP="00A66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CC0">
        <w:rPr>
          <w:rFonts w:ascii="Times New Roman" w:hAnsi="Times New Roman"/>
          <w:sz w:val="28"/>
          <w:szCs w:val="28"/>
          <w:lang w:val="uk-UA"/>
        </w:rPr>
        <w:t>Відстеження результативності регуляторного акту 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66CC0">
        <w:rPr>
          <w:rFonts w:ascii="Times New Roman" w:hAnsi="Times New Roman"/>
          <w:sz w:val="28"/>
          <w:szCs w:val="28"/>
          <w:lang w:val="uk-UA"/>
        </w:rPr>
        <w:t xml:space="preserve">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 </w:t>
      </w:r>
      <w:r w:rsidRPr="00A66CC0">
        <w:rPr>
          <w:rFonts w:ascii="Times New Roman" w:hAnsi="Times New Roman"/>
          <w:sz w:val="28"/>
          <w:szCs w:val="28"/>
          <w:lang w:val="uk-UA"/>
        </w:rPr>
        <w:t>порядку за кіл</w:t>
      </w:r>
      <w:r>
        <w:rPr>
          <w:rFonts w:ascii="Times New Roman" w:hAnsi="Times New Roman"/>
          <w:sz w:val="28"/>
          <w:szCs w:val="28"/>
          <w:lang w:val="uk-UA"/>
        </w:rPr>
        <w:t xml:space="preserve">ькісними і якісними показниками           </w:t>
      </w:r>
      <w:r w:rsidRPr="00A66CC0">
        <w:rPr>
          <w:rFonts w:ascii="Times New Roman" w:hAnsi="Times New Roman"/>
          <w:sz w:val="28"/>
          <w:szCs w:val="28"/>
          <w:lang w:val="uk-UA"/>
        </w:rPr>
        <w:t xml:space="preserve">з використанням статистичного метода одержання результатів відстеження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66CC0">
        <w:rPr>
          <w:rFonts w:ascii="Times New Roman" w:hAnsi="Times New Roman"/>
          <w:sz w:val="28"/>
          <w:szCs w:val="28"/>
          <w:lang w:val="uk-UA"/>
        </w:rPr>
        <w:t>за період</w:t>
      </w:r>
      <w:r w:rsidR="000C4AB2">
        <w:rPr>
          <w:rFonts w:ascii="Times New Roman" w:hAnsi="Times New Roman"/>
          <w:sz w:val="28"/>
          <w:szCs w:val="28"/>
          <w:lang w:val="uk-UA"/>
        </w:rPr>
        <w:t xml:space="preserve"> з 01.01.2018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EC7B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31.12.2019</w:t>
      </w:r>
    </w:p>
    <w:p w:rsidR="00A66CC0" w:rsidRDefault="00A66CC0" w:rsidP="0023095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</w:p>
    <w:p w:rsidR="008C0F18" w:rsidRDefault="00164AD0" w:rsidP="0023095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2018,</w:t>
      </w:r>
      <w:r w:rsidR="00AE2E0A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862C5B">
        <w:rPr>
          <w:rFonts w:ascii="Times New Roman" w:hAnsi="Times New Roman"/>
          <w:sz w:val="18"/>
          <w:szCs w:val="18"/>
          <w:lang w:val="uk-UA"/>
        </w:rPr>
        <w:t>201</w:t>
      </w:r>
      <w:r w:rsidR="007D5463">
        <w:rPr>
          <w:rFonts w:ascii="Times New Roman" w:hAnsi="Times New Roman"/>
          <w:sz w:val="18"/>
          <w:szCs w:val="18"/>
          <w:lang w:val="uk-UA"/>
        </w:rPr>
        <w:t>9</w:t>
      </w:r>
      <w:r w:rsidR="00862C5B">
        <w:rPr>
          <w:rFonts w:ascii="Times New Roman" w:hAnsi="Times New Roman"/>
          <w:sz w:val="18"/>
          <w:szCs w:val="18"/>
          <w:lang w:val="uk-UA"/>
        </w:rPr>
        <w:t xml:space="preserve"> р</w:t>
      </w:r>
      <w:r w:rsidR="00B731C8">
        <w:rPr>
          <w:rFonts w:ascii="Times New Roman" w:hAnsi="Times New Roman"/>
          <w:sz w:val="18"/>
          <w:szCs w:val="18"/>
          <w:lang w:val="uk-UA"/>
        </w:rPr>
        <w:t>оки</w:t>
      </w:r>
      <w:r w:rsidR="00862C5B">
        <w:rPr>
          <w:rFonts w:ascii="Times New Roman" w:hAnsi="Times New Roman"/>
          <w:sz w:val="18"/>
          <w:szCs w:val="18"/>
          <w:lang w:val="uk-UA"/>
        </w:rPr>
        <w:t xml:space="preserve">, </w:t>
      </w:r>
      <w:r w:rsidR="008C0F18" w:rsidRPr="00663315">
        <w:rPr>
          <w:rFonts w:ascii="Times New Roman" w:hAnsi="Times New Roman"/>
          <w:sz w:val="18"/>
          <w:szCs w:val="18"/>
          <w:lang w:val="uk-UA"/>
        </w:rPr>
        <w:t xml:space="preserve"> тис.</w:t>
      </w:r>
      <w:r w:rsidR="008E46AB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8C0F18" w:rsidRPr="00663315">
        <w:rPr>
          <w:rFonts w:ascii="Times New Roman" w:hAnsi="Times New Roman"/>
          <w:sz w:val="18"/>
          <w:szCs w:val="18"/>
          <w:lang w:val="uk-UA"/>
        </w:rPr>
        <w:t>грн.</w:t>
      </w:r>
    </w:p>
    <w:p w:rsidR="00E055E6" w:rsidRPr="007E2478" w:rsidRDefault="00E055E6" w:rsidP="0023095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701"/>
        <w:gridCol w:w="1163"/>
        <w:gridCol w:w="1134"/>
        <w:gridCol w:w="995"/>
        <w:gridCol w:w="737"/>
        <w:gridCol w:w="822"/>
        <w:gridCol w:w="850"/>
        <w:gridCol w:w="854"/>
        <w:gridCol w:w="852"/>
        <w:gridCol w:w="851"/>
      </w:tblGrid>
      <w:tr w:rsidR="008C0F18" w:rsidRPr="00053275" w:rsidTr="00F84E16">
        <w:trPr>
          <w:trHeight w:val="446"/>
        </w:trPr>
        <w:tc>
          <w:tcPr>
            <w:tcW w:w="419" w:type="dxa"/>
            <w:vMerge w:val="restart"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bookmarkStart w:id="0" w:name="OLE_LINK1"/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підприємства</w:t>
            </w:r>
          </w:p>
        </w:tc>
        <w:tc>
          <w:tcPr>
            <w:tcW w:w="3292" w:type="dxa"/>
            <w:gridSpan w:val="3"/>
            <w:vMerge w:val="restart"/>
            <w:vAlign w:val="center"/>
          </w:tcPr>
          <w:p w:rsidR="008C0F18" w:rsidRPr="00053275" w:rsidRDefault="008C0F18" w:rsidP="00D83C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Чистий прибуток (збиток)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Надійшло до міського бюджету</w:t>
            </w:r>
          </w:p>
        </w:tc>
      </w:tr>
      <w:tr w:rsidR="008C0F18" w:rsidRPr="00053275" w:rsidTr="00F84E16">
        <w:trPr>
          <w:trHeight w:val="694"/>
        </w:trPr>
        <w:tc>
          <w:tcPr>
            <w:tcW w:w="419" w:type="dxa"/>
            <w:vMerge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292" w:type="dxa"/>
            <w:gridSpan w:val="3"/>
            <w:vMerge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Податок на прибуток (в </w:t>
            </w:r>
            <w:proofErr w:type="spellStart"/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т.ч</w:t>
            </w:r>
            <w:proofErr w:type="spellEnd"/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 авансові внески з податку на прибуток)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Частина чистого прибутку (доходу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3B4E25" w:rsidRPr="00053275" w:rsidTr="00F84E16">
        <w:trPr>
          <w:cantSplit/>
          <w:trHeight w:val="1545"/>
        </w:trPr>
        <w:tc>
          <w:tcPr>
            <w:tcW w:w="419" w:type="dxa"/>
            <w:vMerge/>
            <w:vAlign w:val="center"/>
          </w:tcPr>
          <w:p w:rsidR="003B4E25" w:rsidRPr="00053275" w:rsidRDefault="003B4E25" w:rsidP="003B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3B4E25" w:rsidRPr="00053275" w:rsidRDefault="003B4E25" w:rsidP="003B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3B4E25" w:rsidRPr="00E055E6" w:rsidRDefault="003B4E25" w:rsidP="003B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2018 рік</w:t>
            </w:r>
          </w:p>
        </w:tc>
        <w:tc>
          <w:tcPr>
            <w:tcW w:w="1134" w:type="dxa"/>
            <w:textDirection w:val="btLr"/>
            <w:vAlign w:val="center"/>
          </w:tcPr>
          <w:p w:rsidR="003B4E25" w:rsidRPr="00E055E6" w:rsidRDefault="003B4E25" w:rsidP="003B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2019 рік</w:t>
            </w:r>
          </w:p>
        </w:tc>
        <w:tc>
          <w:tcPr>
            <w:tcW w:w="995" w:type="dxa"/>
            <w:textDirection w:val="btLr"/>
            <w:vAlign w:val="center"/>
          </w:tcPr>
          <w:p w:rsidR="003B4E25" w:rsidRPr="00E055E6" w:rsidRDefault="003B4E25" w:rsidP="003B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Відхилення 2019</w:t>
            </w:r>
            <w:r w:rsidR="00F84E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</w:t>
            </w: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від 2018, +,-</w:t>
            </w:r>
          </w:p>
        </w:tc>
        <w:tc>
          <w:tcPr>
            <w:tcW w:w="737" w:type="dxa"/>
            <w:textDirection w:val="btLr"/>
            <w:vAlign w:val="center"/>
          </w:tcPr>
          <w:p w:rsidR="003B4E25" w:rsidRPr="00E055E6" w:rsidRDefault="003B4E25" w:rsidP="003B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2018 рік</w:t>
            </w:r>
          </w:p>
        </w:tc>
        <w:tc>
          <w:tcPr>
            <w:tcW w:w="822" w:type="dxa"/>
            <w:textDirection w:val="btLr"/>
            <w:vAlign w:val="center"/>
          </w:tcPr>
          <w:p w:rsidR="003B4E25" w:rsidRPr="00E055E6" w:rsidRDefault="003B4E25" w:rsidP="003B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2019 рік</w:t>
            </w:r>
          </w:p>
        </w:tc>
        <w:tc>
          <w:tcPr>
            <w:tcW w:w="850" w:type="dxa"/>
            <w:textDirection w:val="btLr"/>
            <w:vAlign w:val="center"/>
          </w:tcPr>
          <w:p w:rsidR="003B4E25" w:rsidRPr="00E055E6" w:rsidRDefault="003B4E25" w:rsidP="003B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Відхилення 2019</w:t>
            </w:r>
            <w:r w:rsidR="00F84E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 </w:t>
            </w: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від 2018, +,-</w:t>
            </w:r>
          </w:p>
        </w:tc>
        <w:tc>
          <w:tcPr>
            <w:tcW w:w="854" w:type="dxa"/>
            <w:textDirection w:val="btLr"/>
            <w:vAlign w:val="center"/>
          </w:tcPr>
          <w:p w:rsidR="003B4E25" w:rsidRPr="00E055E6" w:rsidRDefault="003B4E25" w:rsidP="003B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2018 рік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E25" w:rsidRPr="00E055E6" w:rsidRDefault="003B4E25" w:rsidP="003B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2019 рік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E25" w:rsidRPr="00E055E6" w:rsidRDefault="003B4E25" w:rsidP="003B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Відхилення 2019 </w:t>
            </w:r>
            <w:r w:rsidR="00F84E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</w:t>
            </w: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від 2018, +,-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СМР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Електроавтотранс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-15 408,0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-14 504,5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903,5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</w:tcPr>
          <w:p w:rsidR="004C5710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C5710" w:rsidRPr="00513C1B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«Міськводоканал» СМР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-18 391,0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17 247,0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35 638,0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53,0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53,0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-140,3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292,0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432,3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Міськсвітло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» СМР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31,0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37,2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6,2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20,2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8,1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-12,1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-6,0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7,1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«Сумське міське бюро технічної інвентаризації»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-46,0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100,0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27,0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-27,0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11,4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-11,4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«Зеленого будівництва» СМР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148,0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126,0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15,8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32,0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16,2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7,0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25,4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18,4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Шляхрембуд»СМР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284,0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21,0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1,6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114,0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112,4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9,0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-2,0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ДП «Паркінг» КОРП «Дрібнооптовий»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-364,0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48,0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412,0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32,6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-30,6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11,0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Сумикомунінвест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» СМР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47,8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46,7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6,3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4,2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1,4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</w:tcPr>
          <w:p w:rsidR="004C5710" w:rsidRPr="00C337AF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09</w:t>
            </w:r>
          </w:p>
        </w:tc>
        <w:tc>
          <w:tcPr>
            <w:tcW w:w="1701" w:type="dxa"/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Сумижилкомсервіс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» СМР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3 455,0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2 028,0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-1 427,0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30,1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125,0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94,9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87,0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-85,0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  <w:tcBorders>
              <w:bottom w:val="single" w:sz="4" w:space="0" w:color="auto"/>
            </w:tcBorders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«Спеціалізований комбінат»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3,0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-12,0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3,4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-2,4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-0,5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«Сумчанка» СМР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-1,5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-2,4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КОРП «Дрібнооптовий» СМР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233,6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12,6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65,3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51,3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-14,0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14,7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-3,0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МСК «Тенісна академія»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-5,3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-3,2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-0,1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6D93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B6D93">
              <w:rPr>
                <w:rFonts w:ascii="Times New Roman" w:hAnsi="Times New Roman"/>
                <w:sz w:val="16"/>
                <w:szCs w:val="16"/>
                <w:lang w:val="uk-UA"/>
              </w:rPr>
              <w:t>Інфосервіс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» СМР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87,8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16,2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-71,6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2,7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1,1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-0,8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10" w:rsidRPr="00633388" w:rsidRDefault="004C5710" w:rsidP="004C57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Сумитеплоенерго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-централь» СМР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478,0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221,0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-257,0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22,0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-22,0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26,1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-26,1 </w:t>
            </w:r>
          </w:p>
        </w:tc>
      </w:tr>
      <w:tr w:rsidR="004C5710" w:rsidRPr="00053275" w:rsidTr="0016278F">
        <w:trPr>
          <w:trHeight w:val="567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"Центр догляду за тваринами" СМР</w:t>
            </w:r>
          </w:p>
          <w:p w:rsidR="004C5710" w:rsidRPr="00633388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54,9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-70,3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-125,2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9,9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9,9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0,0 </w:t>
            </w:r>
          </w:p>
        </w:tc>
      </w:tr>
      <w:tr w:rsidR="00F84E16" w:rsidRPr="00053275" w:rsidTr="00164AD0">
        <w:trPr>
          <w:trHeight w:val="621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4C5710" w:rsidRPr="00053275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10" w:rsidRPr="00164AD0" w:rsidRDefault="004C5710" w:rsidP="004C5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4A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-29 681,4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5 686,2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35 367,6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224,5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409,7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185,2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10,7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352,0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0" w:rsidRPr="00E055E6" w:rsidRDefault="004C5710" w:rsidP="004C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341,3 </w:t>
            </w:r>
          </w:p>
        </w:tc>
      </w:tr>
      <w:bookmarkEnd w:id="0"/>
    </w:tbl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D6B1A" w:rsidRPr="00053275" w:rsidRDefault="001D6B1A" w:rsidP="003B2B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F3E">
        <w:rPr>
          <w:rFonts w:ascii="Times New Roman" w:hAnsi="Times New Roman"/>
          <w:b/>
          <w:sz w:val="28"/>
          <w:szCs w:val="28"/>
          <w:lang w:val="uk-UA"/>
        </w:rPr>
        <w:t>9. Оцінка результатів реалізації регуляторного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D621A" w:rsidRPr="007417EB" w:rsidRDefault="009D621A" w:rsidP="009D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17EB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17EB">
        <w:rPr>
          <w:rFonts w:ascii="Times New Roman" w:hAnsi="Times New Roman"/>
          <w:sz w:val="28"/>
          <w:szCs w:val="28"/>
          <w:lang w:val="uk-UA"/>
        </w:rPr>
        <w:t>201</w:t>
      </w:r>
      <w:r w:rsidR="008521DB">
        <w:rPr>
          <w:rFonts w:ascii="Times New Roman" w:hAnsi="Times New Roman"/>
          <w:sz w:val="28"/>
          <w:szCs w:val="28"/>
          <w:lang w:val="uk-UA"/>
        </w:rPr>
        <w:t>8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8521DB">
        <w:rPr>
          <w:rFonts w:ascii="Times New Roman" w:hAnsi="Times New Roman"/>
          <w:sz w:val="28"/>
          <w:szCs w:val="28"/>
          <w:lang w:val="uk-UA"/>
        </w:rPr>
        <w:t>ік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прибуток отримали </w:t>
      </w:r>
      <w:r w:rsidR="007D455C">
        <w:rPr>
          <w:rFonts w:ascii="Times New Roman" w:hAnsi="Times New Roman"/>
          <w:sz w:val="28"/>
          <w:szCs w:val="28"/>
          <w:lang w:val="uk-UA"/>
        </w:rPr>
        <w:t xml:space="preserve">11 </w:t>
      </w:r>
      <w:r w:rsidRPr="007417EB">
        <w:rPr>
          <w:rFonts w:ascii="Times New Roman" w:hAnsi="Times New Roman"/>
          <w:sz w:val="28"/>
          <w:szCs w:val="28"/>
          <w:lang w:val="uk-UA"/>
        </w:rPr>
        <w:t>комунальних підприємств з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D455C">
        <w:rPr>
          <w:rFonts w:ascii="Times New Roman" w:hAnsi="Times New Roman"/>
          <w:sz w:val="28"/>
          <w:szCs w:val="28"/>
          <w:lang w:val="uk-UA"/>
        </w:rPr>
        <w:t>68,8</w:t>
      </w:r>
      <w:r>
        <w:rPr>
          <w:rFonts w:ascii="Times New Roman" w:hAnsi="Times New Roman"/>
          <w:sz w:val="28"/>
          <w:szCs w:val="28"/>
          <w:lang w:val="uk-UA"/>
        </w:rPr>
        <w:t xml:space="preserve"> %)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621A" w:rsidRDefault="009D621A" w:rsidP="009D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2019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E800FA">
        <w:rPr>
          <w:rFonts w:ascii="Times New Roman" w:hAnsi="Times New Roman"/>
          <w:sz w:val="28"/>
          <w:szCs w:val="28"/>
          <w:lang w:val="uk-UA"/>
        </w:rPr>
        <w:t xml:space="preserve">ік 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прибуток отримали також </w:t>
      </w:r>
      <w:r w:rsidR="001C1537">
        <w:rPr>
          <w:rFonts w:ascii="Times New Roman" w:hAnsi="Times New Roman"/>
          <w:sz w:val="28"/>
          <w:szCs w:val="28"/>
          <w:lang w:val="uk-UA"/>
        </w:rPr>
        <w:t xml:space="preserve">11 комунальних підприємств                          з 16 </w:t>
      </w:r>
      <w:r w:rsidRPr="007417EB">
        <w:rPr>
          <w:rFonts w:ascii="Times New Roman" w:hAnsi="Times New Roman"/>
          <w:sz w:val="28"/>
          <w:szCs w:val="28"/>
          <w:lang w:val="uk-UA"/>
        </w:rPr>
        <w:t>(</w:t>
      </w:r>
      <w:r w:rsidR="001C1537">
        <w:rPr>
          <w:rFonts w:ascii="Times New Roman" w:hAnsi="Times New Roman"/>
          <w:sz w:val="28"/>
          <w:szCs w:val="28"/>
          <w:lang w:val="uk-UA"/>
        </w:rPr>
        <w:t>68,8 %).</w:t>
      </w:r>
    </w:p>
    <w:p w:rsidR="009D621A" w:rsidRDefault="009D621A" w:rsidP="009D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цьому</w:t>
      </w:r>
      <w:r w:rsidRPr="00147A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 xml:space="preserve">, що за підсумками роботи </w:t>
      </w:r>
      <w:r w:rsidR="004F5699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 у порівнянні </w:t>
      </w:r>
      <w:r w:rsidR="004F5699">
        <w:rPr>
          <w:rFonts w:ascii="Times New Roman" w:hAnsi="Times New Roman"/>
          <w:sz w:val="28"/>
          <w:szCs w:val="28"/>
          <w:lang w:val="uk-UA"/>
        </w:rPr>
        <w:t xml:space="preserve">                              з аналогічним періодом 2018 </w:t>
      </w:r>
      <w:r>
        <w:rPr>
          <w:rFonts w:ascii="Times New Roman" w:hAnsi="Times New Roman"/>
          <w:sz w:val="28"/>
          <w:szCs w:val="28"/>
          <w:lang w:val="uk-UA"/>
        </w:rPr>
        <w:t xml:space="preserve">року підприємства отримали </w:t>
      </w:r>
      <w:r w:rsidR="004C4C46">
        <w:rPr>
          <w:rFonts w:ascii="Times New Roman" w:hAnsi="Times New Roman"/>
          <w:sz w:val="28"/>
          <w:szCs w:val="28"/>
          <w:lang w:val="uk-UA"/>
        </w:rPr>
        <w:t>прибуток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4C4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сумі </w:t>
      </w:r>
      <w:r w:rsidR="0024759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C4C4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4C4C46">
        <w:rPr>
          <w:rFonts w:ascii="Times New Roman" w:hAnsi="Times New Roman"/>
          <w:sz w:val="28"/>
          <w:szCs w:val="28"/>
          <w:lang w:val="uk-UA"/>
        </w:rPr>
        <w:t>686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C4C4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 проти </w:t>
      </w:r>
      <w:r w:rsidR="004C4C46">
        <w:rPr>
          <w:rFonts w:ascii="Times New Roman" w:hAnsi="Times New Roman"/>
          <w:sz w:val="28"/>
          <w:szCs w:val="28"/>
          <w:lang w:val="uk-UA"/>
        </w:rPr>
        <w:t>збитку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4C4C46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4C4C46">
        <w:rPr>
          <w:rFonts w:ascii="Times New Roman" w:hAnsi="Times New Roman"/>
          <w:sz w:val="28"/>
          <w:szCs w:val="28"/>
          <w:lang w:val="uk-UA"/>
        </w:rPr>
        <w:t>681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C4C4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грн., що </w:t>
      </w:r>
      <w:r w:rsidR="004C4C46">
        <w:rPr>
          <w:rFonts w:ascii="Times New Roman" w:hAnsi="Times New Roman"/>
          <w:sz w:val="28"/>
          <w:szCs w:val="28"/>
          <w:lang w:val="uk-UA"/>
        </w:rPr>
        <w:t xml:space="preserve">в свою чергу </w:t>
      </w:r>
      <w:r>
        <w:rPr>
          <w:rFonts w:ascii="Times New Roman" w:hAnsi="Times New Roman"/>
          <w:sz w:val="28"/>
          <w:szCs w:val="28"/>
          <w:lang w:val="uk-UA"/>
        </w:rPr>
        <w:t xml:space="preserve">призвело </w:t>
      </w:r>
      <w:r w:rsidR="004C4C46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931DA">
        <w:rPr>
          <w:rFonts w:ascii="Times New Roman" w:hAnsi="Times New Roman"/>
          <w:sz w:val="28"/>
          <w:szCs w:val="28"/>
          <w:lang w:val="uk-UA"/>
        </w:rPr>
        <w:t>збільшення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надходжень податку на прибуток на </w:t>
      </w:r>
      <w:r w:rsidR="007931DA">
        <w:rPr>
          <w:rFonts w:ascii="Times New Roman" w:hAnsi="Times New Roman"/>
          <w:sz w:val="28"/>
          <w:szCs w:val="28"/>
          <w:lang w:val="uk-UA"/>
        </w:rPr>
        <w:t>185,2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 та відрахування частини чистого прибутку на </w:t>
      </w:r>
      <w:r w:rsidR="007931DA">
        <w:rPr>
          <w:rFonts w:ascii="Times New Roman" w:hAnsi="Times New Roman"/>
          <w:sz w:val="28"/>
          <w:szCs w:val="28"/>
          <w:lang w:val="uk-UA"/>
        </w:rPr>
        <w:t>341,3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гривень.</w:t>
      </w:r>
      <w:r w:rsidR="007A0158">
        <w:rPr>
          <w:rFonts w:ascii="Times New Roman" w:hAnsi="Times New Roman"/>
          <w:sz w:val="28"/>
          <w:szCs w:val="28"/>
          <w:lang w:val="uk-UA"/>
        </w:rPr>
        <w:t xml:space="preserve"> На прибутковість підприємств впливає такий чинник, як надання фінансової підтримки підприємствам</w:t>
      </w:r>
      <w:r w:rsidR="00137301">
        <w:rPr>
          <w:rFonts w:ascii="Times New Roman" w:hAnsi="Times New Roman"/>
          <w:sz w:val="28"/>
          <w:szCs w:val="28"/>
          <w:lang w:val="uk-UA"/>
        </w:rPr>
        <w:t xml:space="preserve">, зокрема </w:t>
      </w:r>
      <w:r w:rsidR="007A0158">
        <w:rPr>
          <w:rFonts w:ascii="Times New Roman" w:hAnsi="Times New Roman"/>
          <w:sz w:val="28"/>
          <w:szCs w:val="28"/>
          <w:lang w:val="uk-UA"/>
        </w:rPr>
        <w:t xml:space="preserve"> КП </w:t>
      </w:r>
      <w:r w:rsidR="00970FED" w:rsidRPr="00970FED">
        <w:rPr>
          <w:rFonts w:ascii="Times New Roman" w:hAnsi="Times New Roman"/>
          <w:sz w:val="28"/>
          <w:szCs w:val="28"/>
          <w:lang w:val="uk-UA"/>
        </w:rPr>
        <w:t>«Міськводоканал» СМР</w:t>
      </w:r>
      <w:r w:rsidR="00F24EA2">
        <w:rPr>
          <w:rFonts w:ascii="Times New Roman" w:hAnsi="Times New Roman"/>
          <w:sz w:val="28"/>
          <w:szCs w:val="28"/>
          <w:lang w:val="uk-UA"/>
        </w:rPr>
        <w:t>.</w:t>
      </w:r>
    </w:p>
    <w:p w:rsidR="0038755A" w:rsidRDefault="009D621A" w:rsidP="009D621A">
      <w:pPr>
        <w:spacing w:after="0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  <w:r w:rsidRPr="00691F0E">
        <w:rPr>
          <w:rFonts w:ascii="Times New Roman" w:hAnsi="Times New Roman"/>
          <w:sz w:val="28"/>
          <w:szCs w:val="28"/>
          <w:lang w:val="uk-UA"/>
        </w:rPr>
        <w:t>Аналіз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був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проведений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без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врахування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показників</w:t>
      </w:r>
      <w:r w:rsidR="0062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діяльності</w:t>
      </w:r>
      <w:r w:rsidR="0038755A">
        <w:rPr>
          <w:rFonts w:ascii="Times New Roman" w:hAnsi="Times New Roman"/>
          <w:sz w:val="28"/>
          <w:szCs w:val="28"/>
          <w:lang w:val="uk-UA"/>
        </w:rPr>
        <w:t>:</w:t>
      </w:r>
    </w:p>
    <w:p w:rsidR="0038755A" w:rsidRDefault="009D621A" w:rsidP="004646D8">
      <w:pPr>
        <w:pStyle w:val="aa"/>
        <w:numPr>
          <w:ilvl w:val="0"/>
          <w:numId w:val="2"/>
        </w:numPr>
        <w:tabs>
          <w:tab w:val="clear" w:pos="1068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755A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38755A">
        <w:rPr>
          <w:rFonts w:ascii="Times New Roman" w:hAnsi="Times New Roman"/>
          <w:sz w:val="28"/>
          <w:szCs w:val="28"/>
          <w:lang w:val="uk-UA"/>
        </w:rPr>
        <w:t>Сумижитло</w:t>
      </w:r>
      <w:proofErr w:type="spellEnd"/>
      <w:r w:rsidRPr="0038755A">
        <w:rPr>
          <w:rFonts w:ascii="Times New Roman" w:hAnsi="Times New Roman"/>
          <w:sz w:val="28"/>
          <w:szCs w:val="28"/>
          <w:lang w:val="uk-UA"/>
        </w:rPr>
        <w:t>» СМР, оскільки фінансовий план на 2016</w:t>
      </w:r>
      <w:r w:rsidR="009E7235" w:rsidRPr="0038755A">
        <w:rPr>
          <w:rFonts w:ascii="Times New Roman" w:hAnsi="Times New Roman"/>
          <w:sz w:val="28"/>
          <w:szCs w:val="28"/>
          <w:lang w:val="uk-UA"/>
        </w:rPr>
        <w:t>-2019 роки</w:t>
      </w:r>
      <w:r w:rsidR="0038755A" w:rsidRPr="0038755A">
        <w:rPr>
          <w:rFonts w:ascii="Times New Roman" w:hAnsi="Times New Roman"/>
          <w:sz w:val="28"/>
          <w:szCs w:val="28"/>
          <w:lang w:val="uk-UA"/>
        </w:rPr>
        <w:t xml:space="preserve">                             по</w:t>
      </w:r>
      <w:r w:rsidRPr="0038755A">
        <w:rPr>
          <w:rFonts w:ascii="Times New Roman" w:hAnsi="Times New Roman"/>
          <w:sz w:val="28"/>
          <w:szCs w:val="28"/>
          <w:lang w:val="uk-UA"/>
        </w:rPr>
        <w:t xml:space="preserve"> підприємству не затверджений</w:t>
      </w:r>
      <w:r w:rsidR="009E7235" w:rsidRPr="0038755A">
        <w:rPr>
          <w:rFonts w:ascii="Times New Roman" w:hAnsi="Times New Roman"/>
          <w:sz w:val="28"/>
          <w:szCs w:val="28"/>
          <w:lang w:val="uk-UA"/>
        </w:rPr>
        <w:t>,</w:t>
      </w:r>
      <w:r w:rsidRPr="0038755A">
        <w:rPr>
          <w:rFonts w:ascii="Times New Roman" w:hAnsi="Times New Roman"/>
          <w:sz w:val="28"/>
          <w:szCs w:val="28"/>
          <w:lang w:val="uk-UA"/>
        </w:rPr>
        <w:t xml:space="preserve"> звіт</w:t>
      </w:r>
      <w:r w:rsidR="009E7235" w:rsidRPr="0038755A">
        <w:rPr>
          <w:rFonts w:ascii="Times New Roman" w:hAnsi="Times New Roman"/>
          <w:sz w:val="28"/>
          <w:szCs w:val="28"/>
          <w:lang w:val="uk-UA"/>
        </w:rPr>
        <w:t>и</w:t>
      </w:r>
      <w:r w:rsidRPr="0038755A">
        <w:rPr>
          <w:rFonts w:ascii="Times New Roman" w:hAnsi="Times New Roman"/>
          <w:sz w:val="28"/>
          <w:szCs w:val="28"/>
          <w:lang w:val="uk-UA"/>
        </w:rPr>
        <w:t xml:space="preserve"> про виконання фінансового плану </w:t>
      </w:r>
      <w:r w:rsidR="0038755A" w:rsidRPr="0038755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38755A">
        <w:rPr>
          <w:rFonts w:ascii="Times New Roman" w:hAnsi="Times New Roman"/>
          <w:sz w:val="28"/>
          <w:szCs w:val="28"/>
          <w:lang w:val="uk-UA"/>
        </w:rPr>
        <w:t>не надан</w:t>
      </w:r>
      <w:r w:rsidR="009E7235" w:rsidRPr="0038755A">
        <w:rPr>
          <w:rFonts w:ascii="Times New Roman" w:hAnsi="Times New Roman"/>
          <w:sz w:val="28"/>
          <w:szCs w:val="28"/>
          <w:lang w:val="uk-UA"/>
        </w:rPr>
        <w:t>і</w:t>
      </w:r>
      <w:r w:rsidR="0038755A" w:rsidRPr="0038755A">
        <w:rPr>
          <w:rFonts w:ascii="Times New Roman" w:hAnsi="Times New Roman"/>
          <w:sz w:val="28"/>
          <w:szCs w:val="28"/>
          <w:lang w:val="uk-UA"/>
        </w:rPr>
        <w:t>;</w:t>
      </w:r>
    </w:p>
    <w:p w:rsidR="00F60232" w:rsidRPr="0038755A" w:rsidRDefault="0038755A" w:rsidP="004646D8">
      <w:pPr>
        <w:pStyle w:val="aa"/>
        <w:numPr>
          <w:ilvl w:val="0"/>
          <w:numId w:val="2"/>
        </w:numPr>
        <w:tabs>
          <w:tab w:val="clear" w:pos="1068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755A">
        <w:rPr>
          <w:rFonts w:ascii="Times New Roman" w:hAnsi="Times New Roman"/>
          <w:sz w:val="28"/>
          <w:szCs w:val="28"/>
          <w:lang w:val="uk-UA"/>
        </w:rPr>
        <w:t xml:space="preserve"> КП «Архітектура. Будівництво. Контроль»</w:t>
      </w:r>
      <w:r>
        <w:rPr>
          <w:rFonts w:ascii="Times New Roman" w:hAnsi="Times New Roman"/>
          <w:sz w:val="28"/>
          <w:szCs w:val="28"/>
          <w:lang w:val="uk-UA"/>
        </w:rPr>
        <w:t xml:space="preserve"> СМР</w:t>
      </w:r>
      <w:r w:rsidRPr="0038755A">
        <w:rPr>
          <w:rFonts w:ascii="Times New Roman" w:hAnsi="Times New Roman"/>
          <w:sz w:val="28"/>
          <w:szCs w:val="28"/>
          <w:lang w:val="uk-UA"/>
        </w:rPr>
        <w:t>, оскільки зазначене підприємство перебуває в стадії ліквідації, звіт про виконання фінансового плану за 2019 рік не наданий.</w:t>
      </w:r>
    </w:p>
    <w:p w:rsidR="009D621A" w:rsidRPr="00E7229D" w:rsidRDefault="00F60232" w:rsidP="00E72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D">
        <w:rPr>
          <w:rFonts w:ascii="Times New Roman" w:hAnsi="Times New Roman"/>
          <w:sz w:val="28"/>
          <w:szCs w:val="28"/>
          <w:lang w:val="uk-UA"/>
        </w:rPr>
        <w:t xml:space="preserve">Проаналізувавши регуляторний акт можна зробити висновок, що </w:t>
      </w:r>
      <w:r w:rsidR="00C9063F" w:rsidRPr="00E7229D">
        <w:rPr>
          <w:rFonts w:ascii="Times New Roman" w:hAnsi="Times New Roman"/>
          <w:sz w:val="28"/>
          <w:szCs w:val="28"/>
          <w:lang w:val="uk-UA"/>
        </w:rPr>
        <w:t>намагання органів місцевого самоврядування підвищити</w:t>
      </w:r>
      <w:r w:rsidRPr="00E7229D">
        <w:rPr>
          <w:rFonts w:ascii="Times New Roman" w:hAnsi="Times New Roman"/>
          <w:sz w:val="28"/>
          <w:szCs w:val="28"/>
          <w:lang w:val="uk-UA"/>
        </w:rPr>
        <w:t xml:space="preserve"> ефективн</w:t>
      </w:r>
      <w:r w:rsidR="00C9063F" w:rsidRPr="00E7229D">
        <w:rPr>
          <w:rFonts w:ascii="Times New Roman" w:hAnsi="Times New Roman"/>
          <w:sz w:val="28"/>
          <w:szCs w:val="28"/>
          <w:lang w:val="uk-UA"/>
        </w:rPr>
        <w:t>ість</w:t>
      </w:r>
      <w:r w:rsidRPr="00E7229D">
        <w:rPr>
          <w:rFonts w:ascii="Times New Roman" w:hAnsi="Times New Roman"/>
          <w:sz w:val="28"/>
          <w:szCs w:val="28"/>
          <w:lang w:val="uk-UA"/>
        </w:rPr>
        <w:t xml:space="preserve"> роботи підприємств</w:t>
      </w:r>
      <w:r w:rsidR="003C1934" w:rsidRPr="00E7229D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територіальної громади міста Суми шляхом складання, затвердження (погодження) та контролю виконання фінансового плану підприємств нівелюється негативним впливом на фінансовий стан підприємств таких основних чинників, як</w:t>
      </w:r>
      <w:r w:rsidR="00E7229D" w:rsidRPr="00E7229D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9D621A" w:rsidRPr="00E7229D">
        <w:rPr>
          <w:rFonts w:ascii="Times New Roman" w:hAnsi="Times New Roman"/>
          <w:sz w:val="28"/>
          <w:szCs w:val="28"/>
          <w:lang w:val="uk-UA"/>
        </w:rPr>
        <w:t>епрогнозована політика цін на енергоносії, паливно – мастильні матеріали;</w:t>
      </w:r>
      <w:r w:rsidR="00E7229D" w:rsidRPr="00E7229D">
        <w:rPr>
          <w:rFonts w:ascii="Times New Roman" w:hAnsi="Times New Roman"/>
          <w:sz w:val="28"/>
          <w:szCs w:val="28"/>
          <w:lang w:val="uk-UA"/>
        </w:rPr>
        <w:t xml:space="preserve"> знос основних засобів тощо</w:t>
      </w:r>
      <w:r w:rsidR="002A438C">
        <w:rPr>
          <w:rFonts w:ascii="Times New Roman" w:hAnsi="Times New Roman"/>
          <w:sz w:val="28"/>
          <w:szCs w:val="28"/>
          <w:lang w:val="uk-UA"/>
        </w:rPr>
        <w:t>.</w:t>
      </w:r>
    </w:p>
    <w:p w:rsidR="00E4714E" w:rsidRDefault="002A438C" w:rsidP="008A75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1B2996">
        <w:rPr>
          <w:rFonts w:ascii="Times New Roman" w:hAnsi="Times New Roman"/>
          <w:sz w:val="28"/>
          <w:szCs w:val="28"/>
          <w:lang w:val="uk-UA"/>
        </w:rPr>
        <w:t xml:space="preserve">оцінка результатів реалізації регуляторного акту та ступеня досягнення визначених цілей показали необхідність удосконалення </w:t>
      </w:r>
      <w:r w:rsidR="008A75DF" w:rsidRPr="008A75DF">
        <w:rPr>
          <w:rFonts w:ascii="Times New Roman" w:hAnsi="Times New Roman"/>
          <w:sz w:val="28"/>
          <w:szCs w:val="28"/>
          <w:lang w:val="uk-UA"/>
        </w:rPr>
        <w:t>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</w:t>
      </w:r>
      <w:r w:rsidR="008A75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14E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r w:rsidR="007A71BB">
        <w:rPr>
          <w:rFonts w:ascii="Times New Roman" w:hAnsi="Times New Roman"/>
          <w:sz w:val="28"/>
          <w:szCs w:val="28"/>
          <w:lang w:val="uk-UA"/>
        </w:rPr>
        <w:t>викладення його в новій редакції.</w:t>
      </w:r>
    </w:p>
    <w:p w:rsidR="00E4714E" w:rsidRPr="00E4714E" w:rsidRDefault="00E4714E" w:rsidP="008A75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цьому, вказаний механізм необхідно поширити не лише на територію м. Суми, а всієї Сумської міської об</w:t>
      </w:r>
      <w:r w:rsidRPr="00E4714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єднаної</w:t>
      </w:r>
      <w:r w:rsidR="0026705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підст</w:t>
      </w:r>
      <w:r>
        <w:rPr>
          <w:rFonts w:ascii="Times New Roman" w:hAnsi="Times New Roman"/>
          <w:sz w:val="28"/>
          <w:szCs w:val="28"/>
          <w:lang w:val="uk-UA"/>
        </w:rPr>
        <w:t>аві рішення Сумської міської ради від 24 квітня</w:t>
      </w:r>
      <w:r w:rsidR="004F7434">
        <w:rPr>
          <w:rFonts w:ascii="Times New Roman" w:hAnsi="Times New Roman"/>
          <w:sz w:val="28"/>
          <w:szCs w:val="28"/>
          <w:lang w:val="uk-UA"/>
        </w:rPr>
        <w:t xml:space="preserve"> 2019 року № 4989</w:t>
      </w:r>
      <w:r w:rsidR="00D410F8">
        <w:rPr>
          <w:rFonts w:ascii="Times New Roman" w:hAnsi="Times New Roman"/>
          <w:sz w:val="28"/>
          <w:szCs w:val="28"/>
          <w:lang w:val="uk-UA"/>
        </w:rPr>
        <w:t xml:space="preserve">-МР «Про добровільне приєднання територіальних громад сіл Піщане, Верхнє Піщане, </w:t>
      </w:r>
      <w:proofErr w:type="spellStart"/>
      <w:r w:rsidR="00D410F8">
        <w:rPr>
          <w:rFonts w:ascii="Times New Roman" w:hAnsi="Times New Roman"/>
          <w:sz w:val="28"/>
          <w:szCs w:val="28"/>
          <w:lang w:val="uk-UA"/>
        </w:rPr>
        <w:t>Загірське</w:t>
      </w:r>
      <w:proofErr w:type="spellEnd"/>
      <w:r w:rsidR="00D410F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410F8">
        <w:rPr>
          <w:rFonts w:ascii="Times New Roman" w:hAnsi="Times New Roman"/>
          <w:sz w:val="28"/>
          <w:szCs w:val="28"/>
          <w:lang w:val="uk-UA"/>
        </w:rPr>
        <w:t>Трохименкове</w:t>
      </w:r>
      <w:proofErr w:type="spellEnd"/>
      <w:r w:rsidR="00D410F8">
        <w:rPr>
          <w:rFonts w:ascii="Times New Roman" w:hAnsi="Times New Roman"/>
          <w:sz w:val="28"/>
          <w:szCs w:val="28"/>
          <w:lang w:val="uk-UA"/>
        </w:rPr>
        <w:t xml:space="preserve">, Житейське, </w:t>
      </w:r>
      <w:proofErr w:type="spellStart"/>
      <w:r w:rsidR="00D410F8">
        <w:rPr>
          <w:rFonts w:ascii="Times New Roman" w:hAnsi="Times New Roman"/>
          <w:sz w:val="28"/>
          <w:szCs w:val="28"/>
          <w:lang w:val="uk-UA"/>
        </w:rPr>
        <w:t>Кирияківщина</w:t>
      </w:r>
      <w:proofErr w:type="spellEnd"/>
      <w:r w:rsidR="00D410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10F8">
        <w:rPr>
          <w:rFonts w:ascii="Times New Roman" w:hAnsi="Times New Roman"/>
          <w:sz w:val="28"/>
          <w:szCs w:val="28"/>
          <w:lang w:val="uk-UA"/>
        </w:rPr>
        <w:t>Піщанської</w:t>
      </w:r>
      <w:proofErr w:type="spellEnd"/>
      <w:r w:rsidR="00D410F8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="00D410F8">
        <w:rPr>
          <w:rFonts w:ascii="Times New Roman" w:hAnsi="Times New Roman"/>
          <w:sz w:val="28"/>
          <w:szCs w:val="28"/>
          <w:lang w:val="uk-UA"/>
        </w:rPr>
        <w:t>Ковпаківського</w:t>
      </w:r>
      <w:proofErr w:type="spellEnd"/>
      <w:r w:rsidR="00D410F8">
        <w:rPr>
          <w:rFonts w:ascii="Times New Roman" w:hAnsi="Times New Roman"/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ради.</w:t>
      </w:r>
    </w:p>
    <w:p w:rsidR="008541B3" w:rsidRDefault="008541B3" w:rsidP="00FD2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A08" w:rsidRDefault="00706A08" w:rsidP="00EE2520">
      <w:pPr>
        <w:tabs>
          <w:tab w:val="left" w:pos="291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841330" w:rsidP="00EE2520">
      <w:pPr>
        <w:tabs>
          <w:tab w:val="left" w:pos="291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841330">
        <w:rPr>
          <w:rFonts w:ascii="Times New Roman" w:hAnsi="Times New Roman"/>
          <w:b/>
          <w:sz w:val="28"/>
          <w:szCs w:val="28"/>
          <w:lang w:val="uk-UA"/>
        </w:rPr>
        <w:t xml:space="preserve">Перший заступник </w:t>
      </w:r>
      <w:r w:rsidR="00706A08" w:rsidRPr="00841330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  <w:r w:rsidR="008C0F18" w:rsidRPr="00841330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370FD9" w:rsidRPr="008413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F18" w:rsidRPr="00841330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370FD9" w:rsidRPr="0084133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C0F18" w:rsidRPr="0084133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706A08" w:rsidRPr="00841330">
        <w:rPr>
          <w:rFonts w:ascii="Times New Roman" w:hAnsi="Times New Roman"/>
          <w:b/>
          <w:sz w:val="28"/>
          <w:szCs w:val="28"/>
          <w:lang w:val="uk-UA"/>
        </w:rPr>
        <w:t>В.В.</w:t>
      </w:r>
      <w:r w:rsidR="000B64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6A08" w:rsidRPr="00841330">
        <w:rPr>
          <w:rFonts w:ascii="Times New Roman" w:hAnsi="Times New Roman"/>
          <w:b/>
          <w:sz w:val="28"/>
          <w:szCs w:val="28"/>
          <w:lang w:val="uk-UA"/>
        </w:rPr>
        <w:t>Вой</w:t>
      </w:r>
      <w:r w:rsidR="00F224F0" w:rsidRPr="00841330">
        <w:rPr>
          <w:rFonts w:ascii="Times New Roman" w:hAnsi="Times New Roman"/>
          <w:b/>
          <w:sz w:val="28"/>
          <w:szCs w:val="28"/>
          <w:lang w:val="uk-UA"/>
        </w:rPr>
        <w:t>тенко</w:t>
      </w:r>
    </w:p>
    <w:p w:rsidR="00BD1151" w:rsidRPr="0084541E" w:rsidRDefault="005F621E">
      <w:pPr>
        <w:tabs>
          <w:tab w:val="left" w:pos="2910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BD1151">
        <w:rPr>
          <w:rFonts w:ascii="Times New Roman" w:hAnsi="Times New Roman"/>
          <w:sz w:val="24"/>
          <w:szCs w:val="24"/>
          <w:lang w:val="uk-UA"/>
        </w:rPr>
        <w:t>Вик</w:t>
      </w:r>
      <w:proofErr w:type="spellEnd"/>
      <w:r w:rsidRPr="00BD1151">
        <w:rPr>
          <w:rFonts w:ascii="Times New Roman" w:hAnsi="Times New Roman"/>
          <w:sz w:val="24"/>
          <w:szCs w:val="24"/>
          <w:lang w:val="uk-UA"/>
        </w:rPr>
        <w:t>. Липова С.А.</w:t>
      </w:r>
      <w:bookmarkStart w:id="1" w:name="_GoBack"/>
      <w:bookmarkEnd w:id="1"/>
    </w:p>
    <w:sectPr w:rsidR="00BD1151" w:rsidRPr="0084541E" w:rsidSect="00162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6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5E" w:rsidRDefault="00490C5E" w:rsidP="00E445BE">
      <w:pPr>
        <w:spacing w:after="0" w:line="240" w:lineRule="auto"/>
      </w:pPr>
      <w:r>
        <w:separator/>
      </w:r>
    </w:p>
  </w:endnote>
  <w:endnote w:type="continuationSeparator" w:id="0">
    <w:p w:rsidR="00490C5E" w:rsidRDefault="00490C5E" w:rsidP="00E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Pr="00EE52F5" w:rsidRDefault="008C0F18" w:rsidP="00EE52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5E" w:rsidRDefault="00490C5E" w:rsidP="00E445BE">
      <w:pPr>
        <w:spacing w:after="0" w:line="240" w:lineRule="auto"/>
      </w:pPr>
      <w:r>
        <w:separator/>
      </w:r>
    </w:p>
  </w:footnote>
  <w:footnote w:type="continuationSeparator" w:id="0">
    <w:p w:rsidR="00490C5E" w:rsidRDefault="00490C5E" w:rsidP="00E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4D0"/>
    <w:multiLevelType w:val="hybridMultilevel"/>
    <w:tmpl w:val="4D4A77F4"/>
    <w:lvl w:ilvl="0" w:tplc="5CB6237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747418"/>
    <w:multiLevelType w:val="hybridMultilevel"/>
    <w:tmpl w:val="9DB6D2AC"/>
    <w:lvl w:ilvl="0" w:tplc="CD688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A"/>
    <w:rsid w:val="000113D3"/>
    <w:rsid w:val="00047DDE"/>
    <w:rsid w:val="00053275"/>
    <w:rsid w:val="00053552"/>
    <w:rsid w:val="00056C10"/>
    <w:rsid w:val="00062E50"/>
    <w:rsid w:val="0008733A"/>
    <w:rsid w:val="00087C1A"/>
    <w:rsid w:val="00093726"/>
    <w:rsid w:val="0009673B"/>
    <w:rsid w:val="000B64B7"/>
    <w:rsid w:val="000C4AB2"/>
    <w:rsid w:val="000E3F95"/>
    <w:rsid w:val="000F4FF3"/>
    <w:rsid w:val="0010122C"/>
    <w:rsid w:val="0011176B"/>
    <w:rsid w:val="001209C9"/>
    <w:rsid w:val="00121753"/>
    <w:rsid w:val="00121A46"/>
    <w:rsid w:val="0013665C"/>
    <w:rsid w:val="00137301"/>
    <w:rsid w:val="00142F55"/>
    <w:rsid w:val="00145D32"/>
    <w:rsid w:val="001470F7"/>
    <w:rsid w:val="00147AF7"/>
    <w:rsid w:val="00160F9A"/>
    <w:rsid w:val="0016278F"/>
    <w:rsid w:val="00164AD0"/>
    <w:rsid w:val="00171D6D"/>
    <w:rsid w:val="0017221F"/>
    <w:rsid w:val="00176704"/>
    <w:rsid w:val="0019395B"/>
    <w:rsid w:val="00194740"/>
    <w:rsid w:val="00197150"/>
    <w:rsid w:val="001A0409"/>
    <w:rsid w:val="001A1E15"/>
    <w:rsid w:val="001B2996"/>
    <w:rsid w:val="001C1537"/>
    <w:rsid w:val="001D0621"/>
    <w:rsid w:val="001D4B59"/>
    <w:rsid w:val="001D58A9"/>
    <w:rsid w:val="001D6B1A"/>
    <w:rsid w:val="001E0E5C"/>
    <w:rsid w:val="001F1B9C"/>
    <w:rsid w:val="001F293E"/>
    <w:rsid w:val="00210CC4"/>
    <w:rsid w:val="002208DD"/>
    <w:rsid w:val="002253B0"/>
    <w:rsid w:val="002260A3"/>
    <w:rsid w:val="0023095A"/>
    <w:rsid w:val="00247594"/>
    <w:rsid w:val="002568C0"/>
    <w:rsid w:val="002631A5"/>
    <w:rsid w:val="00267050"/>
    <w:rsid w:val="00282FB4"/>
    <w:rsid w:val="002A438C"/>
    <w:rsid w:val="002B3AD9"/>
    <w:rsid w:val="002C0EDB"/>
    <w:rsid w:val="002C7CB8"/>
    <w:rsid w:val="002D75FB"/>
    <w:rsid w:val="002E31D6"/>
    <w:rsid w:val="002F3F55"/>
    <w:rsid w:val="002F6201"/>
    <w:rsid w:val="002F6740"/>
    <w:rsid w:val="00321FFF"/>
    <w:rsid w:val="00324FB6"/>
    <w:rsid w:val="003340BF"/>
    <w:rsid w:val="00336AD7"/>
    <w:rsid w:val="003414DA"/>
    <w:rsid w:val="00361C33"/>
    <w:rsid w:val="00370FD9"/>
    <w:rsid w:val="00371AB8"/>
    <w:rsid w:val="00374951"/>
    <w:rsid w:val="00383EB5"/>
    <w:rsid w:val="0038755A"/>
    <w:rsid w:val="003919E7"/>
    <w:rsid w:val="00397D26"/>
    <w:rsid w:val="003A48FD"/>
    <w:rsid w:val="003B1FB5"/>
    <w:rsid w:val="003B2BEF"/>
    <w:rsid w:val="003B4E25"/>
    <w:rsid w:val="003C1934"/>
    <w:rsid w:val="003C328C"/>
    <w:rsid w:val="003F1A0D"/>
    <w:rsid w:val="003F3428"/>
    <w:rsid w:val="003F65D9"/>
    <w:rsid w:val="00405539"/>
    <w:rsid w:val="004174DC"/>
    <w:rsid w:val="00420691"/>
    <w:rsid w:val="00424517"/>
    <w:rsid w:val="00430D67"/>
    <w:rsid w:val="00433A7F"/>
    <w:rsid w:val="00434B2A"/>
    <w:rsid w:val="00435CBF"/>
    <w:rsid w:val="00437C68"/>
    <w:rsid w:val="00445C4E"/>
    <w:rsid w:val="0045350C"/>
    <w:rsid w:val="00487401"/>
    <w:rsid w:val="00490C5E"/>
    <w:rsid w:val="00494933"/>
    <w:rsid w:val="004975E5"/>
    <w:rsid w:val="004A2AD1"/>
    <w:rsid w:val="004A7B4D"/>
    <w:rsid w:val="004C0FFE"/>
    <w:rsid w:val="004C4C46"/>
    <w:rsid w:val="004C5710"/>
    <w:rsid w:val="004E7A4D"/>
    <w:rsid w:val="004F5699"/>
    <w:rsid w:val="004F700E"/>
    <w:rsid w:val="004F7434"/>
    <w:rsid w:val="0050434A"/>
    <w:rsid w:val="00504A14"/>
    <w:rsid w:val="0051206C"/>
    <w:rsid w:val="00513C1B"/>
    <w:rsid w:val="0054154B"/>
    <w:rsid w:val="0054538E"/>
    <w:rsid w:val="005506FC"/>
    <w:rsid w:val="00566C29"/>
    <w:rsid w:val="00571E82"/>
    <w:rsid w:val="00575967"/>
    <w:rsid w:val="00575C8A"/>
    <w:rsid w:val="005801CD"/>
    <w:rsid w:val="005922CF"/>
    <w:rsid w:val="00597F49"/>
    <w:rsid w:val="005B0869"/>
    <w:rsid w:val="005C3DD0"/>
    <w:rsid w:val="005C4E3E"/>
    <w:rsid w:val="005D0EA3"/>
    <w:rsid w:val="005D512C"/>
    <w:rsid w:val="005F621E"/>
    <w:rsid w:val="00610310"/>
    <w:rsid w:val="00610BD4"/>
    <w:rsid w:val="0062475E"/>
    <w:rsid w:val="00625B52"/>
    <w:rsid w:val="00633388"/>
    <w:rsid w:val="0064501D"/>
    <w:rsid w:val="006524F8"/>
    <w:rsid w:val="00655EF0"/>
    <w:rsid w:val="00663315"/>
    <w:rsid w:val="0066384B"/>
    <w:rsid w:val="00682D60"/>
    <w:rsid w:val="0069164E"/>
    <w:rsid w:val="00691F0E"/>
    <w:rsid w:val="00697BEC"/>
    <w:rsid w:val="006A6E68"/>
    <w:rsid w:val="006B47EE"/>
    <w:rsid w:val="006B4D39"/>
    <w:rsid w:val="006B6D93"/>
    <w:rsid w:val="006C53DD"/>
    <w:rsid w:val="006C5459"/>
    <w:rsid w:val="006C6214"/>
    <w:rsid w:val="006D1BA0"/>
    <w:rsid w:val="006F00D9"/>
    <w:rsid w:val="006F44C1"/>
    <w:rsid w:val="00706A08"/>
    <w:rsid w:val="0071478D"/>
    <w:rsid w:val="00714B6D"/>
    <w:rsid w:val="00717697"/>
    <w:rsid w:val="00733D07"/>
    <w:rsid w:val="00737242"/>
    <w:rsid w:val="007417EB"/>
    <w:rsid w:val="00791129"/>
    <w:rsid w:val="007931DA"/>
    <w:rsid w:val="007A0158"/>
    <w:rsid w:val="007A104C"/>
    <w:rsid w:val="007A71BB"/>
    <w:rsid w:val="007D455C"/>
    <w:rsid w:val="007D5463"/>
    <w:rsid w:val="007E2478"/>
    <w:rsid w:val="007E3048"/>
    <w:rsid w:val="007E5EB1"/>
    <w:rsid w:val="007F080E"/>
    <w:rsid w:val="0080146F"/>
    <w:rsid w:val="008014CD"/>
    <w:rsid w:val="00830DA4"/>
    <w:rsid w:val="00831BDF"/>
    <w:rsid w:val="00834D72"/>
    <w:rsid w:val="00841330"/>
    <w:rsid w:val="00844BAA"/>
    <w:rsid w:val="00844D1E"/>
    <w:rsid w:val="0084541E"/>
    <w:rsid w:val="00846C8B"/>
    <w:rsid w:val="00847E78"/>
    <w:rsid w:val="008521DB"/>
    <w:rsid w:val="008541B3"/>
    <w:rsid w:val="00862C5B"/>
    <w:rsid w:val="00866B76"/>
    <w:rsid w:val="008736DA"/>
    <w:rsid w:val="008803DE"/>
    <w:rsid w:val="00884EE0"/>
    <w:rsid w:val="00892AD8"/>
    <w:rsid w:val="00897AC5"/>
    <w:rsid w:val="008A09AB"/>
    <w:rsid w:val="008A75DF"/>
    <w:rsid w:val="008B5C1E"/>
    <w:rsid w:val="008C0F18"/>
    <w:rsid w:val="008C4E50"/>
    <w:rsid w:val="008C5252"/>
    <w:rsid w:val="008C72E1"/>
    <w:rsid w:val="008D1F22"/>
    <w:rsid w:val="008D2C83"/>
    <w:rsid w:val="008E46AB"/>
    <w:rsid w:val="008E6839"/>
    <w:rsid w:val="00901070"/>
    <w:rsid w:val="0090749A"/>
    <w:rsid w:val="00915BF6"/>
    <w:rsid w:val="009213DE"/>
    <w:rsid w:val="009412D3"/>
    <w:rsid w:val="00943781"/>
    <w:rsid w:val="0095383B"/>
    <w:rsid w:val="00970FED"/>
    <w:rsid w:val="009806A0"/>
    <w:rsid w:val="009862D6"/>
    <w:rsid w:val="0099339F"/>
    <w:rsid w:val="00994076"/>
    <w:rsid w:val="00997F3E"/>
    <w:rsid w:val="009A11F4"/>
    <w:rsid w:val="009B4878"/>
    <w:rsid w:val="009B52A3"/>
    <w:rsid w:val="009C09EE"/>
    <w:rsid w:val="009C530D"/>
    <w:rsid w:val="009D621A"/>
    <w:rsid w:val="009E7235"/>
    <w:rsid w:val="009F0FA5"/>
    <w:rsid w:val="00A0003F"/>
    <w:rsid w:val="00A116FF"/>
    <w:rsid w:val="00A23670"/>
    <w:rsid w:val="00A242E9"/>
    <w:rsid w:val="00A25692"/>
    <w:rsid w:val="00A45116"/>
    <w:rsid w:val="00A65278"/>
    <w:rsid w:val="00A66CC0"/>
    <w:rsid w:val="00A672DE"/>
    <w:rsid w:val="00A7415C"/>
    <w:rsid w:val="00A77812"/>
    <w:rsid w:val="00A83B5E"/>
    <w:rsid w:val="00A900E4"/>
    <w:rsid w:val="00A923A1"/>
    <w:rsid w:val="00A95528"/>
    <w:rsid w:val="00AA5751"/>
    <w:rsid w:val="00AB1F5E"/>
    <w:rsid w:val="00AC4292"/>
    <w:rsid w:val="00AE1A62"/>
    <w:rsid w:val="00AE2E0A"/>
    <w:rsid w:val="00AF186B"/>
    <w:rsid w:val="00AF7FF5"/>
    <w:rsid w:val="00B06980"/>
    <w:rsid w:val="00B219C6"/>
    <w:rsid w:val="00B22F56"/>
    <w:rsid w:val="00B2585A"/>
    <w:rsid w:val="00B40384"/>
    <w:rsid w:val="00B46303"/>
    <w:rsid w:val="00B46FAB"/>
    <w:rsid w:val="00B569E5"/>
    <w:rsid w:val="00B6226B"/>
    <w:rsid w:val="00B626B4"/>
    <w:rsid w:val="00B721B7"/>
    <w:rsid w:val="00B731C8"/>
    <w:rsid w:val="00B814A3"/>
    <w:rsid w:val="00B90F3F"/>
    <w:rsid w:val="00B96913"/>
    <w:rsid w:val="00BA03C7"/>
    <w:rsid w:val="00BA249A"/>
    <w:rsid w:val="00BA77F4"/>
    <w:rsid w:val="00BB096B"/>
    <w:rsid w:val="00BB6B42"/>
    <w:rsid w:val="00BC33E8"/>
    <w:rsid w:val="00BC5FDE"/>
    <w:rsid w:val="00BD1151"/>
    <w:rsid w:val="00BD3FF0"/>
    <w:rsid w:val="00BE1082"/>
    <w:rsid w:val="00BE6F4E"/>
    <w:rsid w:val="00C337AF"/>
    <w:rsid w:val="00C4459A"/>
    <w:rsid w:val="00C7444E"/>
    <w:rsid w:val="00C75759"/>
    <w:rsid w:val="00C9063F"/>
    <w:rsid w:val="00C94BF2"/>
    <w:rsid w:val="00CC06B2"/>
    <w:rsid w:val="00CC554C"/>
    <w:rsid w:val="00CF05D7"/>
    <w:rsid w:val="00D40112"/>
    <w:rsid w:val="00D410F8"/>
    <w:rsid w:val="00D4728A"/>
    <w:rsid w:val="00D518BF"/>
    <w:rsid w:val="00D644F8"/>
    <w:rsid w:val="00D80A06"/>
    <w:rsid w:val="00D8172B"/>
    <w:rsid w:val="00D83C67"/>
    <w:rsid w:val="00DA2144"/>
    <w:rsid w:val="00DA3913"/>
    <w:rsid w:val="00DC0F45"/>
    <w:rsid w:val="00DC7812"/>
    <w:rsid w:val="00DE6854"/>
    <w:rsid w:val="00DF35D0"/>
    <w:rsid w:val="00E055E6"/>
    <w:rsid w:val="00E06AFB"/>
    <w:rsid w:val="00E111CA"/>
    <w:rsid w:val="00E1275E"/>
    <w:rsid w:val="00E21FD6"/>
    <w:rsid w:val="00E445BE"/>
    <w:rsid w:val="00E4714E"/>
    <w:rsid w:val="00E65820"/>
    <w:rsid w:val="00E7229D"/>
    <w:rsid w:val="00E768B1"/>
    <w:rsid w:val="00E800FA"/>
    <w:rsid w:val="00E826E6"/>
    <w:rsid w:val="00E93066"/>
    <w:rsid w:val="00EA767D"/>
    <w:rsid w:val="00EB1D59"/>
    <w:rsid w:val="00EB4208"/>
    <w:rsid w:val="00EB78DC"/>
    <w:rsid w:val="00EC7B3E"/>
    <w:rsid w:val="00ED1B49"/>
    <w:rsid w:val="00EE2520"/>
    <w:rsid w:val="00EE52F5"/>
    <w:rsid w:val="00EE57BD"/>
    <w:rsid w:val="00F05FFF"/>
    <w:rsid w:val="00F16B51"/>
    <w:rsid w:val="00F224F0"/>
    <w:rsid w:val="00F24EA2"/>
    <w:rsid w:val="00F308A7"/>
    <w:rsid w:val="00F35CA8"/>
    <w:rsid w:val="00F56C46"/>
    <w:rsid w:val="00F60232"/>
    <w:rsid w:val="00F635EF"/>
    <w:rsid w:val="00F84E16"/>
    <w:rsid w:val="00FA1B7A"/>
    <w:rsid w:val="00FA4303"/>
    <w:rsid w:val="00FA701B"/>
    <w:rsid w:val="00FB183B"/>
    <w:rsid w:val="00FB761D"/>
    <w:rsid w:val="00FB77F7"/>
    <w:rsid w:val="00FC4B5F"/>
    <w:rsid w:val="00FC64CF"/>
    <w:rsid w:val="00FD2B37"/>
    <w:rsid w:val="00FE2B47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5488B"/>
  <w15:docId w15:val="{14DAD1ED-4445-491F-A6AA-080A9147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9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1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4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445B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445B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70FD9"/>
    <w:rPr>
      <w:rFonts w:ascii="Tahoma" w:hAnsi="Tahoma" w:cs="Tahoma"/>
      <w:sz w:val="16"/>
      <w:szCs w:val="16"/>
      <w:lang w:val="ru-RU" w:eastAsia="en-US"/>
    </w:rPr>
  </w:style>
  <w:style w:type="paragraph" w:styleId="aa">
    <w:name w:val="List Paragraph"/>
    <w:basedOn w:val="a"/>
    <w:uiPriority w:val="34"/>
    <w:qFormat/>
    <w:rsid w:val="0038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  <w:div w:id="847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F6BB-01A4-46F3-A0ED-71D4D4B4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812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Павленко Олена Віталіївна</cp:lastModifiedBy>
  <cp:revision>80</cp:revision>
  <cp:lastPrinted>2020-06-15T07:32:00Z</cp:lastPrinted>
  <dcterms:created xsi:type="dcterms:W3CDTF">2020-06-12T06:32:00Z</dcterms:created>
  <dcterms:modified xsi:type="dcterms:W3CDTF">2020-06-25T07:24:00Z</dcterms:modified>
</cp:coreProperties>
</file>