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62" w:rsidRDefault="00EB2B62">
      <w:pPr>
        <w:jc w:val="both"/>
        <w:rPr>
          <w:b/>
          <w:sz w:val="32"/>
          <w:szCs w:val="32"/>
          <w:u w:val="single"/>
          <w:lang w:val="uk-UA"/>
        </w:rPr>
      </w:pPr>
      <w:bookmarkStart w:id="0" w:name="_GoBack"/>
      <w:bookmarkEnd w:id="0"/>
    </w:p>
    <w:p w:rsidR="00EB2B62" w:rsidRDefault="00424F31">
      <w:pPr>
        <w:jc w:val="center"/>
        <w:rPr>
          <w:sz w:val="26"/>
          <w:szCs w:val="26"/>
        </w:rPr>
      </w:pPr>
      <w:r>
        <w:rPr>
          <w:b/>
          <w:sz w:val="26"/>
          <w:szCs w:val="26"/>
          <w:lang w:val="uk-UA"/>
        </w:rPr>
        <w:t>Звіт</w:t>
      </w:r>
    </w:p>
    <w:p w:rsidR="00EB2B62" w:rsidRDefault="00424F31">
      <w:pPr>
        <w:jc w:val="center"/>
        <w:rPr>
          <w:sz w:val="26"/>
          <w:szCs w:val="26"/>
        </w:rPr>
      </w:pPr>
      <w:r>
        <w:rPr>
          <w:b/>
          <w:sz w:val="26"/>
          <w:szCs w:val="26"/>
          <w:lang w:val="uk-UA"/>
        </w:rPr>
        <w:t xml:space="preserve">про базове відстеження  результативності регуляторного акта – рішення виконавчого комітету Сумської міської ради від 15.01.2019 № 4 </w:t>
      </w:r>
    </w:p>
    <w:p w:rsidR="00EB2B62" w:rsidRDefault="00424F31">
      <w:pPr>
        <w:jc w:val="center"/>
        <w:rPr>
          <w:sz w:val="26"/>
          <w:szCs w:val="26"/>
        </w:rPr>
      </w:pPr>
      <w:r>
        <w:rPr>
          <w:b/>
          <w:sz w:val="26"/>
          <w:szCs w:val="26"/>
          <w:lang w:val="uk-UA"/>
        </w:rPr>
        <w:t>«Про затвердження Правил приймання стічних вод до систем централізованого водовідведення міста Суми»</w:t>
      </w:r>
    </w:p>
    <w:p w:rsidR="00EB2B62" w:rsidRDefault="00EB2B62">
      <w:pPr>
        <w:jc w:val="both"/>
        <w:rPr>
          <w:b/>
          <w:sz w:val="26"/>
          <w:szCs w:val="26"/>
          <w:lang w:val="uk-UA"/>
        </w:rPr>
      </w:pPr>
    </w:p>
    <w:p w:rsidR="00EB2B62" w:rsidRDefault="00424F31">
      <w:pPr>
        <w:jc w:val="both"/>
        <w:rPr>
          <w:sz w:val="26"/>
          <w:szCs w:val="26"/>
        </w:rPr>
      </w:pPr>
      <w:r>
        <w:rPr>
          <w:b/>
          <w:iCs/>
          <w:color w:val="000000"/>
          <w:spacing w:val="1"/>
          <w:sz w:val="26"/>
          <w:szCs w:val="26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6"/>
          <w:szCs w:val="26"/>
          <w:lang w:val="uk-UA"/>
        </w:rPr>
        <w:t>дата його прийняття та номер:</w:t>
      </w:r>
    </w:p>
    <w:p w:rsidR="00EB2B62" w:rsidRDefault="00424F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Рішення виконавчого комітету Сумської міської ради від 15.01.2019 № 4 «Про затвердження Правил приймання стічних вод до систем централізованого водовідв</w:t>
      </w:r>
      <w:r>
        <w:rPr>
          <w:sz w:val="26"/>
          <w:szCs w:val="26"/>
          <w:lang w:val="uk-UA"/>
        </w:rPr>
        <w:t>едення міста Суми».</w:t>
      </w:r>
    </w:p>
    <w:p w:rsidR="00EB2B62" w:rsidRDefault="00EB2B62">
      <w:pPr>
        <w:ind w:firstLine="708"/>
        <w:jc w:val="both"/>
        <w:rPr>
          <w:lang w:val="uk-UA"/>
        </w:rPr>
      </w:pPr>
    </w:p>
    <w:p w:rsidR="00EB2B62" w:rsidRDefault="00424F31">
      <w:pPr>
        <w:pStyle w:val="30"/>
        <w:tabs>
          <w:tab w:val="left" w:pos="851"/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b w:val="0"/>
          <w:sz w:val="26"/>
          <w:szCs w:val="26"/>
        </w:rPr>
        <w:t xml:space="preserve"> </w:t>
      </w:r>
      <w:r>
        <w:rPr>
          <w:iCs/>
          <w:color w:val="000000"/>
          <w:spacing w:val="-5"/>
          <w:sz w:val="26"/>
          <w:szCs w:val="26"/>
        </w:rPr>
        <w:t>Назва виконавця заходів відстеження:</w:t>
      </w:r>
    </w:p>
    <w:p w:rsidR="00EB2B62" w:rsidRPr="00B32D75" w:rsidRDefault="00424F31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Комунальне підприємство «Міськводоканал» Сумської міської ради.</w:t>
      </w:r>
    </w:p>
    <w:p w:rsidR="00EB2B62" w:rsidRDefault="00EB2B62">
      <w:pPr>
        <w:widowControl w:val="0"/>
        <w:tabs>
          <w:tab w:val="left" w:pos="993"/>
        </w:tabs>
        <w:ind w:firstLine="709"/>
        <w:jc w:val="both"/>
        <w:rPr>
          <w:lang w:val="uk-UA"/>
        </w:rPr>
      </w:pPr>
    </w:p>
    <w:p w:rsidR="00EB2B62" w:rsidRDefault="00424F31">
      <w:pPr>
        <w:widowControl w:val="0"/>
        <w:tabs>
          <w:tab w:val="left" w:pos="993"/>
        </w:tabs>
        <w:jc w:val="both"/>
        <w:rPr>
          <w:sz w:val="26"/>
          <w:szCs w:val="26"/>
        </w:rPr>
      </w:pPr>
      <w:r>
        <w:rPr>
          <w:b/>
          <w:sz w:val="26"/>
          <w:szCs w:val="26"/>
          <w:lang w:val="uk-UA"/>
        </w:rPr>
        <w:t>3.</w:t>
      </w:r>
      <w:r>
        <w:rPr>
          <w:sz w:val="26"/>
          <w:szCs w:val="26"/>
          <w:lang w:val="uk-UA"/>
        </w:rPr>
        <w:t xml:space="preserve"> </w:t>
      </w:r>
      <w:r>
        <w:rPr>
          <w:b/>
          <w:iCs/>
          <w:color w:val="000000"/>
          <w:spacing w:val="-1"/>
          <w:sz w:val="26"/>
          <w:szCs w:val="26"/>
          <w:lang w:val="uk-UA"/>
        </w:rPr>
        <w:t>Цілі прийняття акта:</w:t>
      </w:r>
    </w:p>
    <w:p w:rsidR="00EB2B62" w:rsidRDefault="00424F31">
      <w:pPr>
        <w:jc w:val="both"/>
        <w:rPr>
          <w:sz w:val="26"/>
          <w:szCs w:val="26"/>
        </w:rPr>
      </w:pPr>
      <w:r>
        <w:rPr>
          <w:iCs/>
          <w:color w:val="000000"/>
          <w:spacing w:val="-1"/>
          <w:sz w:val="26"/>
          <w:szCs w:val="26"/>
          <w:lang w:val="uk-UA"/>
        </w:rPr>
        <w:tab/>
        <w:t>Цілями державного регулювання для даного проекту регуляторного акту є:</w:t>
      </w:r>
    </w:p>
    <w:p w:rsidR="00EB2B62" w:rsidRPr="00B32D75" w:rsidRDefault="00424F31">
      <w:pPr>
        <w:jc w:val="both"/>
        <w:rPr>
          <w:sz w:val="26"/>
          <w:szCs w:val="26"/>
          <w:lang w:val="uk-UA"/>
        </w:rPr>
      </w:pPr>
      <w:r>
        <w:rPr>
          <w:iCs/>
          <w:color w:val="000000"/>
          <w:spacing w:val="-1"/>
          <w:sz w:val="26"/>
          <w:szCs w:val="26"/>
          <w:lang w:val="uk-UA"/>
        </w:rPr>
        <w:tab/>
        <w:t xml:space="preserve">- запобігання руйнуванню мереж і </w:t>
      </w:r>
      <w:r>
        <w:rPr>
          <w:iCs/>
          <w:color w:val="000000"/>
          <w:spacing w:val="-1"/>
          <w:sz w:val="26"/>
          <w:szCs w:val="26"/>
          <w:lang w:val="uk-UA"/>
        </w:rPr>
        <w:t>споруд системи каналізації м. Суми, (запобігання замулюванню, зажирюванню, закупорки і загазованості трубопроводів, а також агресивного впливу на матеріал труб, колодязів, устаткування);</w:t>
      </w:r>
    </w:p>
    <w:p w:rsidR="00EB2B62" w:rsidRDefault="00424F31">
      <w:pPr>
        <w:jc w:val="both"/>
        <w:rPr>
          <w:sz w:val="26"/>
          <w:szCs w:val="26"/>
        </w:rPr>
      </w:pPr>
      <w:r>
        <w:rPr>
          <w:iCs/>
          <w:color w:val="000000"/>
          <w:spacing w:val="-1"/>
          <w:sz w:val="26"/>
          <w:szCs w:val="26"/>
          <w:lang w:val="uk-UA"/>
        </w:rPr>
        <w:tab/>
        <w:t>- якісна робота міських очисних споруд (запобігання порушення технол</w:t>
      </w:r>
      <w:r>
        <w:rPr>
          <w:iCs/>
          <w:color w:val="000000"/>
          <w:spacing w:val="-1"/>
          <w:sz w:val="26"/>
          <w:szCs w:val="26"/>
          <w:lang w:val="uk-UA"/>
        </w:rPr>
        <w:t>огічного режиму очищення стічних вод внаслідок понаднормативного надходження забруднюючих речовин);</w:t>
      </w:r>
    </w:p>
    <w:p w:rsidR="00EB2B62" w:rsidRDefault="00424F31">
      <w:pPr>
        <w:ind w:firstLine="708"/>
        <w:jc w:val="both"/>
        <w:rPr>
          <w:sz w:val="26"/>
          <w:szCs w:val="26"/>
        </w:rPr>
      </w:pPr>
      <w:r>
        <w:rPr>
          <w:iCs/>
          <w:color w:val="000000"/>
          <w:spacing w:val="-1"/>
          <w:sz w:val="26"/>
          <w:szCs w:val="26"/>
          <w:lang w:val="uk-UA"/>
        </w:rPr>
        <w:t>- захист навколишнього природного середовища, забезпечення належного</w:t>
      </w:r>
    </w:p>
    <w:p w:rsidR="00EB2B62" w:rsidRDefault="00424F31">
      <w:pPr>
        <w:jc w:val="both"/>
        <w:rPr>
          <w:sz w:val="26"/>
          <w:szCs w:val="26"/>
        </w:rPr>
      </w:pPr>
      <w:r>
        <w:rPr>
          <w:iCs/>
          <w:color w:val="000000"/>
          <w:spacing w:val="-1"/>
          <w:sz w:val="26"/>
          <w:szCs w:val="26"/>
          <w:lang w:val="uk-UA"/>
        </w:rPr>
        <w:t>санітарного стану території м. Суми (попередження забрудненню водного об’єкту недостатн</w:t>
      </w:r>
      <w:r>
        <w:rPr>
          <w:iCs/>
          <w:color w:val="000000"/>
          <w:spacing w:val="-1"/>
          <w:sz w:val="26"/>
          <w:szCs w:val="26"/>
          <w:lang w:val="uk-UA"/>
        </w:rPr>
        <w:t>ьо очищеними стічними водами);</w:t>
      </w:r>
    </w:p>
    <w:p w:rsidR="00EB2B62" w:rsidRDefault="00424F31">
      <w:pPr>
        <w:ind w:firstLine="708"/>
        <w:jc w:val="both"/>
        <w:rPr>
          <w:sz w:val="26"/>
          <w:szCs w:val="26"/>
        </w:rPr>
      </w:pPr>
      <w:r>
        <w:rPr>
          <w:iCs/>
          <w:color w:val="000000"/>
          <w:spacing w:val="-1"/>
          <w:sz w:val="26"/>
          <w:szCs w:val="26"/>
          <w:lang w:val="uk-UA"/>
        </w:rPr>
        <w:t xml:space="preserve">- встановлення допустимої концентрації для кожної забруднюючої речовини, що може скидатися споживачами в систему централізованого водовідведення, відповідальність та міри впливу за їх порушення, а також відображення місцевих </w:t>
      </w:r>
      <w:r>
        <w:rPr>
          <w:iCs/>
          <w:color w:val="000000"/>
          <w:spacing w:val="-1"/>
          <w:sz w:val="26"/>
          <w:szCs w:val="26"/>
          <w:lang w:val="uk-UA"/>
        </w:rPr>
        <w:t>особливостей приймання стічних вод до системи централізованого водовідведення;</w:t>
      </w:r>
    </w:p>
    <w:p w:rsidR="00EB2B62" w:rsidRDefault="00424F31">
      <w:pPr>
        <w:ind w:firstLine="708"/>
        <w:jc w:val="both"/>
        <w:rPr>
          <w:sz w:val="26"/>
          <w:szCs w:val="26"/>
        </w:rPr>
      </w:pPr>
      <w:r>
        <w:rPr>
          <w:iCs/>
          <w:color w:val="000000"/>
          <w:spacing w:val="-1"/>
          <w:sz w:val="26"/>
          <w:szCs w:val="26"/>
          <w:lang w:val="uk-UA"/>
        </w:rPr>
        <w:t>- встановлення рівності прав, законних інтересів усіх суб’єктів господарської діяльності у сфері водовідведення.</w:t>
      </w:r>
    </w:p>
    <w:p w:rsidR="00EB2B62" w:rsidRDefault="00EB2B62">
      <w:pPr>
        <w:ind w:firstLine="708"/>
        <w:jc w:val="both"/>
        <w:rPr>
          <w:iCs/>
          <w:color w:val="000000"/>
          <w:spacing w:val="-1"/>
          <w:lang w:val="uk-UA"/>
        </w:rPr>
      </w:pPr>
    </w:p>
    <w:p w:rsidR="00EB2B62" w:rsidRDefault="00424F31">
      <w:pPr>
        <w:jc w:val="both"/>
        <w:rPr>
          <w:sz w:val="26"/>
          <w:szCs w:val="26"/>
        </w:rPr>
      </w:pPr>
      <w:r>
        <w:rPr>
          <w:b/>
          <w:sz w:val="26"/>
          <w:szCs w:val="26"/>
          <w:lang w:val="uk-UA"/>
        </w:rPr>
        <w:t>4. Строк виконання заходів з відстеження:</w:t>
      </w:r>
    </w:p>
    <w:p w:rsidR="00EB2B62" w:rsidRDefault="00424F31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Відстеження </w:t>
      </w:r>
      <w:r>
        <w:rPr>
          <w:color w:val="000000"/>
          <w:sz w:val="26"/>
          <w:szCs w:val="26"/>
          <w:lang w:val="uk-UA"/>
        </w:rPr>
        <w:t>результативності цього регуляторного акту здійснювалося у термін з 27.04.2020 р. по 22.05.2020 р.</w:t>
      </w:r>
    </w:p>
    <w:p w:rsidR="00EB2B62" w:rsidRDefault="00EB2B62">
      <w:pPr>
        <w:tabs>
          <w:tab w:val="left" w:pos="851"/>
        </w:tabs>
        <w:ind w:firstLine="709"/>
        <w:jc w:val="both"/>
        <w:rPr>
          <w:color w:val="000000"/>
          <w:lang w:val="uk-UA"/>
        </w:rPr>
      </w:pPr>
    </w:p>
    <w:p w:rsidR="00EB2B62" w:rsidRDefault="00424F31">
      <w:pPr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  <w:lang w:val="uk-UA"/>
        </w:rPr>
        <w:t xml:space="preserve">5. </w:t>
      </w:r>
      <w:r>
        <w:rPr>
          <w:b/>
          <w:iCs/>
          <w:color w:val="000000"/>
          <w:sz w:val="26"/>
          <w:szCs w:val="26"/>
          <w:lang w:val="uk-UA"/>
        </w:rPr>
        <w:t>Тип відстеження (базове, повторне або періодичне):</w:t>
      </w:r>
    </w:p>
    <w:p w:rsidR="00EB2B62" w:rsidRDefault="00424F31">
      <w:pPr>
        <w:jc w:val="both"/>
        <w:rPr>
          <w:sz w:val="26"/>
          <w:szCs w:val="26"/>
        </w:rPr>
      </w:pPr>
      <w:r>
        <w:rPr>
          <w:b/>
          <w:iCs/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>Проводиться базове відстеження.</w:t>
      </w:r>
    </w:p>
    <w:p w:rsidR="00EB2B62" w:rsidRDefault="00EB2B62">
      <w:pPr>
        <w:jc w:val="both"/>
        <w:rPr>
          <w:color w:val="000000"/>
          <w:lang w:val="uk-UA"/>
        </w:rPr>
      </w:pPr>
    </w:p>
    <w:p w:rsidR="00EB2B62" w:rsidRDefault="00424F31">
      <w:pPr>
        <w:widowControl w:val="0"/>
        <w:jc w:val="both"/>
        <w:rPr>
          <w:sz w:val="26"/>
          <w:szCs w:val="26"/>
        </w:rPr>
      </w:pPr>
      <w:r>
        <w:rPr>
          <w:b/>
          <w:iCs/>
          <w:color w:val="000000"/>
          <w:spacing w:val="-5"/>
          <w:sz w:val="26"/>
          <w:szCs w:val="26"/>
          <w:lang w:val="uk-UA"/>
        </w:rPr>
        <w:t>6. Методи одержання результатів відстеження:</w:t>
      </w:r>
    </w:p>
    <w:p w:rsidR="00EB2B62" w:rsidRDefault="00424F31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Методом одержання </w:t>
      </w:r>
      <w:r>
        <w:rPr>
          <w:color w:val="000000"/>
          <w:sz w:val="26"/>
          <w:szCs w:val="26"/>
          <w:lang w:val="uk-UA"/>
        </w:rPr>
        <w:t>результатів відстеження є статистичний метод.</w:t>
      </w:r>
    </w:p>
    <w:p w:rsidR="00EB2B62" w:rsidRDefault="00EB2B62">
      <w:pPr>
        <w:ind w:firstLine="708"/>
        <w:jc w:val="both"/>
        <w:rPr>
          <w:color w:val="000000"/>
          <w:lang w:val="uk-UA"/>
        </w:rPr>
      </w:pPr>
    </w:p>
    <w:p w:rsidR="00EB2B62" w:rsidRDefault="00424F31">
      <w:pPr>
        <w:widowControl w:val="0"/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b/>
          <w:iCs/>
          <w:color w:val="000000"/>
          <w:sz w:val="26"/>
          <w:szCs w:val="26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6"/>
          <w:szCs w:val="26"/>
          <w:lang w:val="uk-UA"/>
        </w:rPr>
        <w:t>також способи одержання даних:</w:t>
      </w:r>
    </w:p>
    <w:p w:rsidR="00EB2B62" w:rsidRDefault="00424F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Базове відстеження результативності рішення виконавчого комітету Сумської міської ради від 15.01.2019 № 4</w:t>
      </w:r>
      <w:r>
        <w:rPr>
          <w:sz w:val="26"/>
          <w:szCs w:val="26"/>
          <w:lang w:val="uk-UA"/>
        </w:rPr>
        <w:t xml:space="preserve"> «Про затвердження Правил приймання стічних вод до систем централізованого водовідведення міста Суми» (далі — регуляторний акт) здійснювалося шляхом аналізу </w:t>
      </w:r>
      <w:r>
        <w:rPr>
          <w:color w:val="000000"/>
          <w:sz w:val="26"/>
          <w:szCs w:val="26"/>
          <w:lang w:val="uk-UA"/>
        </w:rPr>
        <w:t xml:space="preserve">наявної на підприємстві інформації, а саме: даних, </w:t>
      </w:r>
      <w:r>
        <w:rPr>
          <w:color w:val="000000"/>
          <w:sz w:val="26"/>
          <w:szCs w:val="26"/>
          <w:lang w:val="uk-UA"/>
        </w:rPr>
        <w:lastRenderedPageBreak/>
        <w:t>одержаних шляхом ведення статистичного обліку; у</w:t>
      </w:r>
      <w:r>
        <w:rPr>
          <w:color w:val="000000"/>
          <w:sz w:val="26"/>
          <w:szCs w:val="26"/>
          <w:lang w:val="uk-UA"/>
        </w:rPr>
        <w:t>загальнених даних результатів аналізів відібраних проб стічних вод споживачів (юридичних осіб), отриманих лабораторією промстоків КП “Міськводоканал” Сумської міської ради.</w:t>
      </w:r>
    </w:p>
    <w:p w:rsidR="00EB2B62" w:rsidRDefault="00424F31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highlight w:val="white"/>
          <w:lang w:val="uk-UA"/>
        </w:rPr>
        <w:t>Виходячи з цілей державного регулювання, для відстеження результативності даного ре</w:t>
      </w:r>
      <w:r>
        <w:rPr>
          <w:color w:val="000000"/>
          <w:sz w:val="26"/>
          <w:szCs w:val="26"/>
          <w:highlight w:val="white"/>
          <w:lang w:val="uk-UA"/>
        </w:rPr>
        <w:t>гуляторного акта обрані наступні  показники:</w:t>
      </w:r>
    </w:p>
    <w:p w:rsidR="00EB2B62" w:rsidRDefault="00424F31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>1. Кількість суб'єктів господарювання, на яких поширюється дія запропонованого регуляторного акту</w:t>
      </w:r>
      <w:r>
        <w:rPr>
          <w:color w:val="000000"/>
          <w:sz w:val="26"/>
          <w:szCs w:val="26"/>
          <w:lang w:val="uk-UA"/>
        </w:rPr>
        <w:t xml:space="preserve"> та які користуються послугами водовідведення.</w:t>
      </w:r>
    </w:p>
    <w:p w:rsidR="00EB2B62" w:rsidRPr="00B32D75" w:rsidRDefault="00424F31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  <w:t>2. Обсяги водовідведення.</w:t>
      </w:r>
    </w:p>
    <w:p w:rsidR="00EB2B62" w:rsidRPr="00B32D75" w:rsidRDefault="00424F31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  <w:t>3. Кількість відібраних проб стічних в</w:t>
      </w:r>
      <w:r>
        <w:rPr>
          <w:color w:val="000000"/>
          <w:sz w:val="26"/>
          <w:szCs w:val="26"/>
          <w:lang w:val="uk-UA"/>
        </w:rPr>
        <w:t>од по юридичним особам та фізичним особам-підприємцям, у тому числі таких, що відповідають ДК та не відповідають ДК.</w:t>
      </w:r>
    </w:p>
    <w:p w:rsidR="00EB2B62" w:rsidRDefault="00424F31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ab/>
        <w:t>4. Кількість забруднюючих речовин в стічних водах, а саме:</w:t>
      </w:r>
    </w:p>
    <w:tbl>
      <w:tblPr>
        <w:tblW w:w="9666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1"/>
        <w:gridCol w:w="4584"/>
        <w:gridCol w:w="4341"/>
      </w:tblGrid>
      <w:tr w:rsidR="00EB2B62"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№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Показники якості стічних вод</w:t>
            </w:r>
          </w:p>
        </w:tc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Кількість виявлених порушень</w:t>
            </w:r>
          </w:p>
        </w:tc>
      </w:tr>
      <w:tr w:rsidR="00EB2B62"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Завислі речовини </w:t>
            </w:r>
          </w:p>
        </w:tc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EB2B62">
            <w:pPr>
              <w:pStyle w:val="af1"/>
              <w:snapToGrid w:val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B2B62"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Азот амонійний</w:t>
            </w:r>
          </w:p>
        </w:tc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EB2B62">
            <w:pPr>
              <w:pStyle w:val="af1"/>
              <w:snapToGrid w:val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B2B62"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Фосфати</w:t>
            </w:r>
          </w:p>
        </w:tc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EB2B62">
            <w:pPr>
              <w:pStyle w:val="af1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B2B62"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Біологічне споживання кисню (БСК</w:t>
            </w:r>
            <w:r>
              <w:rPr>
                <w:sz w:val="26"/>
                <w:szCs w:val="26"/>
                <w:vertAlign w:val="subscript"/>
                <w:lang w:val="uk-UA"/>
              </w:rPr>
              <w:t>5)</w:t>
            </w:r>
          </w:p>
        </w:tc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EB2B62">
            <w:pPr>
              <w:pStyle w:val="af1"/>
              <w:snapToGrid w:val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B2B62"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Хлориди</w:t>
            </w:r>
          </w:p>
        </w:tc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EB2B62">
            <w:pPr>
              <w:pStyle w:val="af1"/>
              <w:snapToGrid w:val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B2B62"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Жири</w:t>
            </w:r>
          </w:p>
        </w:tc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EB2B62">
            <w:pPr>
              <w:pStyle w:val="af1"/>
              <w:snapToGrid w:val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B2B62"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Синтетичні поверхнево — активні речовини (СПАР)</w:t>
            </w:r>
          </w:p>
        </w:tc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EB2B62">
            <w:pPr>
              <w:pStyle w:val="af1"/>
              <w:snapToGrid w:val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B2B62"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Сульфати</w:t>
            </w:r>
          </w:p>
        </w:tc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EB2B62">
            <w:pPr>
              <w:pStyle w:val="af1"/>
              <w:snapToGrid w:val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B2B62"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Залізо </w:t>
            </w:r>
          </w:p>
        </w:tc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EB2B62">
            <w:pPr>
              <w:pStyle w:val="af1"/>
              <w:snapToGrid w:val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B2B62"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Цинк</w:t>
            </w:r>
          </w:p>
        </w:tc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EB2B62">
            <w:pPr>
              <w:pStyle w:val="af1"/>
              <w:snapToGrid w:val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B2B62"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Мідь </w:t>
            </w:r>
          </w:p>
        </w:tc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EB2B62">
            <w:pPr>
              <w:pStyle w:val="af1"/>
              <w:snapToGrid w:val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B2B62"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ХСК</w:t>
            </w:r>
          </w:p>
        </w:tc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EB2B62">
            <w:pPr>
              <w:pStyle w:val="af1"/>
              <w:snapToGrid w:val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B2B62"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Нафтопродукти</w:t>
            </w:r>
          </w:p>
        </w:tc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EB2B62">
            <w:pPr>
              <w:pStyle w:val="af1"/>
              <w:snapToGrid w:val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B2B62"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Нікель</w:t>
            </w:r>
          </w:p>
        </w:tc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EB2B62">
            <w:pPr>
              <w:pStyle w:val="af1"/>
              <w:snapToGrid w:val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B2B62"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Хром</w:t>
            </w:r>
          </w:p>
        </w:tc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EB2B62">
            <w:pPr>
              <w:pStyle w:val="af1"/>
              <w:snapToGrid w:val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B2B62"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Свинець</w:t>
            </w:r>
          </w:p>
        </w:tc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EB2B62">
            <w:pPr>
              <w:pStyle w:val="af1"/>
              <w:snapToGrid w:val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B2B62"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Сульфіди</w:t>
            </w:r>
          </w:p>
        </w:tc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EB2B62">
            <w:pPr>
              <w:pStyle w:val="af1"/>
              <w:snapToGrid w:val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B2B62"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Мініралізація загальна (сухий залишок)</w:t>
            </w:r>
          </w:p>
        </w:tc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Default="00EB2B62">
            <w:pPr>
              <w:pStyle w:val="af1"/>
              <w:snapToGrid w:val="0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EB2B62" w:rsidRDefault="00424F31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ab/>
        <w:t xml:space="preserve">5. Сума надходжень грошових коштів за скид понаднормативних забруднюючих речовин в стічних водах споживачів, що скидаються до системи ценралізованого водовідведення згідно </w:t>
      </w:r>
      <w:r>
        <w:rPr>
          <w:color w:val="000000"/>
          <w:sz w:val="26"/>
          <w:szCs w:val="26"/>
          <w:lang w:val="uk-UA"/>
        </w:rPr>
        <w:t>виставлених рахунків з урахуванням коефіцієнту кратності, який враховує рівень небезпеки скинутих забруднень для технологічних процесів очищення стічних вод на міських каналізаційних очисних спорудах                                  КП “Міськводоканал” Сум</w:t>
      </w:r>
      <w:r>
        <w:rPr>
          <w:color w:val="000000"/>
          <w:sz w:val="26"/>
          <w:szCs w:val="26"/>
          <w:lang w:val="uk-UA"/>
        </w:rPr>
        <w:t>ської міської ради та екологічного стану р. Псел.</w:t>
      </w:r>
    </w:p>
    <w:p w:rsidR="00EB2B62" w:rsidRDefault="00424F31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ab/>
        <w:t>6. Протяжність мереж водовідведення в м. Суми, що перебуває на балансі                   КП “Міськводоканал” Сумської міської ради.</w:t>
      </w:r>
    </w:p>
    <w:p w:rsidR="00EB2B62" w:rsidRDefault="00424F31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ab/>
        <w:t>7. Частка ветхих та аварійних каналізаційних мереж, колекторів.</w:t>
      </w:r>
    </w:p>
    <w:p w:rsidR="00EB2B62" w:rsidRDefault="00EB2B62">
      <w:pPr>
        <w:widowControl w:val="0"/>
        <w:jc w:val="both"/>
        <w:rPr>
          <w:b/>
          <w:iCs/>
          <w:color w:val="000000"/>
          <w:spacing w:val="-3"/>
          <w:lang w:val="uk-UA"/>
        </w:rPr>
      </w:pPr>
    </w:p>
    <w:p w:rsidR="00EB2B62" w:rsidRDefault="00424F31">
      <w:pPr>
        <w:widowControl w:val="0"/>
        <w:jc w:val="both"/>
        <w:rPr>
          <w:sz w:val="26"/>
          <w:szCs w:val="26"/>
        </w:rPr>
      </w:pPr>
      <w:r>
        <w:rPr>
          <w:b/>
          <w:iCs/>
          <w:color w:val="000000"/>
          <w:spacing w:val="-3"/>
          <w:sz w:val="26"/>
          <w:szCs w:val="26"/>
          <w:lang w:val="uk-UA"/>
        </w:rPr>
        <w:t>8. Кіль</w:t>
      </w:r>
      <w:r>
        <w:rPr>
          <w:b/>
          <w:iCs/>
          <w:color w:val="000000"/>
          <w:spacing w:val="-3"/>
          <w:sz w:val="26"/>
          <w:szCs w:val="26"/>
          <w:lang w:val="uk-UA"/>
        </w:rPr>
        <w:t>кісні та якісні значення показників результативності акта:</w:t>
      </w:r>
    </w:p>
    <w:p w:rsidR="00EB2B62" w:rsidRDefault="00424F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lastRenderedPageBreak/>
        <w:t xml:space="preserve">Відстеження результативності регуляторного акта здійснюється у встановленому законодавством порядку за  кількісними і якісними показниками з використанням статистичного метода  одержання </w:t>
      </w:r>
      <w:r>
        <w:rPr>
          <w:sz w:val="26"/>
          <w:szCs w:val="26"/>
          <w:lang w:val="uk-UA"/>
        </w:rPr>
        <w:t>результатів відстеження за період з 21.01.2019 по 30.04.2020:</w:t>
      </w:r>
    </w:p>
    <w:tbl>
      <w:tblPr>
        <w:tblStyle w:val="af3"/>
        <w:tblW w:w="9360" w:type="dxa"/>
        <w:tblInd w:w="376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99"/>
        <w:gridCol w:w="4914"/>
        <w:gridCol w:w="3347"/>
      </w:tblGrid>
      <w:tr w:rsidR="00EB2B62">
        <w:trPr>
          <w:trHeight w:val="564"/>
        </w:trPr>
        <w:tc>
          <w:tcPr>
            <w:tcW w:w="1099" w:type="dxa"/>
            <w:shd w:val="clear" w:color="auto" w:fill="auto"/>
            <w:tcMar>
              <w:left w:w="93" w:type="dxa"/>
            </w:tcMar>
            <w:vAlign w:val="center"/>
          </w:tcPr>
          <w:p w:rsidR="00EB2B62" w:rsidRDefault="00424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4914" w:type="dxa"/>
            <w:shd w:val="clear" w:color="auto" w:fill="auto"/>
            <w:tcMar>
              <w:left w:w="93" w:type="dxa"/>
            </w:tcMar>
            <w:vAlign w:val="center"/>
          </w:tcPr>
          <w:p w:rsidR="00EB2B62" w:rsidRDefault="00424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Показники результативності</w:t>
            </w:r>
          </w:p>
        </w:tc>
        <w:tc>
          <w:tcPr>
            <w:tcW w:w="3347" w:type="dxa"/>
            <w:shd w:val="clear" w:color="auto" w:fill="auto"/>
            <w:tcMar>
              <w:left w:w="93" w:type="dxa"/>
            </w:tcMar>
            <w:vAlign w:val="center"/>
          </w:tcPr>
          <w:p w:rsidR="00EB2B62" w:rsidRDefault="00424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Одиниці виміру</w:t>
            </w:r>
          </w:p>
        </w:tc>
      </w:tr>
      <w:tr w:rsidR="00EB2B62">
        <w:tc>
          <w:tcPr>
            <w:tcW w:w="1099" w:type="dxa"/>
            <w:shd w:val="clear" w:color="auto" w:fill="auto"/>
            <w:tcMar>
              <w:left w:w="93" w:type="dxa"/>
            </w:tcMar>
          </w:tcPr>
          <w:p w:rsidR="00EB2B62" w:rsidRDefault="00424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914" w:type="dxa"/>
            <w:shd w:val="clear" w:color="auto" w:fill="auto"/>
            <w:tcMar>
              <w:left w:w="93" w:type="dxa"/>
            </w:tcMar>
          </w:tcPr>
          <w:p w:rsidR="00EB2B62" w:rsidRDefault="00424F3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Кількість суб'єктів господарювання, які користуються послугами водовідведення.</w:t>
            </w:r>
          </w:p>
        </w:tc>
        <w:tc>
          <w:tcPr>
            <w:tcW w:w="3347" w:type="dxa"/>
            <w:shd w:val="clear" w:color="auto" w:fill="auto"/>
            <w:tcMar>
              <w:left w:w="93" w:type="dxa"/>
            </w:tcMar>
            <w:vAlign w:val="center"/>
          </w:tcPr>
          <w:p w:rsidR="00EB2B62" w:rsidRDefault="00424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4 082</w:t>
            </w:r>
          </w:p>
        </w:tc>
      </w:tr>
      <w:tr w:rsidR="00EB2B62">
        <w:tc>
          <w:tcPr>
            <w:tcW w:w="1099" w:type="dxa"/>
            <w:shd w:val="clear" w:color="auto" w:fill="auto"/>
            <w:tcMar>
              <w:left w:w="93" w:type="dxa"/>
            </w:tcMar>
          </w:tcPr>
          <w:p w:rsidR="00EB2B62" w:rsidRDefault="00424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914" w:type="dxa"/>
            <w:shd w:val="clear" w:color="auto" w:fill="auto"/>
            <w:tcMar>
              <w:left w:w="93" w:type="dxa"/>
            </w:tcMar>
          </w:tcPr>
          <w:p w:rsidR="00EB2B62" w:rsidRDefault="00424F3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 Кількість суб'єктів господарювання, на яких </w:t>
            </w:r>
            <w:r>
              <w:rPr>
                <w:color w:val="000000"/>
                <w:sz w:val="26"/>
                <w:szCs w:val="26"/>
                <w:lang w:val="uk-UA"/>
              </w:rPr>
              <w:t>поширюється дія запропонованого регуляторного акту .</w:t>
            </w:r>
          </w:p>
          <w:p w:rsidR="00EB2B62" w:rsidRDefault="00EB2B62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3347" w:type="dxa"/>
            <w:shd w:val="clear" w:color="auto" w:fill="auto"/>
            <w:tcMar>
              <w:left w:w="93" w:type="dxa"/>
            </w:tcMar>
            <w:vAlign w:val="center"/>
          </w:tcPr>
          <w:p w:rsidR="00EB2B62" w:rsidRDefault="00424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1 922</w:t>
            </w:r>
          </w:p>
        </w:tc>
      </w:tr>
      <w:tr w:rsidR="00EB2B62">
        <w:tc>
          <w:tcPr>
            <w:tcW w:w="1099" w:type="dxa"/>
            <w:shd w:val="clear" w:color="auto" w:fill="auto"/>
            <w:tcMar>
              <w:left w:w="93" w:type="dxa"/>
            </w:tcMar>
          </w:tcPr>
          <w:p w:rsidR="00EB2B62" w:rsidRDefault="00424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4914" w:type="dxa"/>
            <w:shd w:val="clear" w:color="auto" w:fill="auto"/>
            <w:tcMar>
              <w:left w:w="93" w:type="dxa"/>
            </w:tcMar>
          </w:tcPr>
          <w:p w:rsidR="00EB2B62" w:rsidRDefault="00424F3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Обсяги водовідведення.</w:t>
            </w:r>
          </w:p>
        </w:tc>
        <w:tc>
          <w:tcPr>
            <w:tcW w:w="3347" w:type="dxa"/>
            <w:shd w:val="clear" w:color="auto" w:fill="auto"/>
            <w:tcMar>
              <w:left w:w="93" w:type="dxa"/>
            </w:tcMar>
            <w:vAlign w:val="center"/>
          </w:tcPr>
          <w:p w:rsidR="00EB2B62" w:rsidRDefault="00424F31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3 003 043,39 м</w:t>
            </w:r>
            <w:r>
              <w:rPr>
                <w:color w:val="000000"/>
                <w:sz w:val="26"/>
                <w:szCs w:val="26"/>
                <w:vertAlign w:val="superscript"/>
                <w:lang w:val="uk-UA"/>
              </w:rPr>
              <w:t>3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EB2B62">
        <w:tc>
          <w:tcPr>
            <w:tcW w:w="1099" w:type="dxa"/>
            <w:vMerge w:val="restart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424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424F3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Кількість відібраних проб стічних вод по юридичним особам та фізичним особам-підприємцям, всього: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Default="00424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549</w:t>
            </w:r>
          </w:p>
        </w:tc>
      </w:tr>
      <w:tr w:rsidR="00EB2B62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EB2B6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424F3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 тому числі таких, що: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Default="00EB2B62">
            <w:pPr>
              <w:jc w:val="center"/>
              <w:rPr>
                <w:sz w:val="26"/>
                <w:szCs w:val="26"/>
              </w:rPr>
            </w:pPr>
          </w:p>
        </w:tc>
      </w:tr>
      <w:tr w:rsidR="00EB2B62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EB2B6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424F3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відповідають ДК ;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Default="00424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363</w:t>
            </w:r>
          </w:p>
        </w:tc>
      </w:tr>
      <w:tr w:rsidR="00EB2B62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EB2B6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424F3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не відповідають ДК.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Default="00424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186</w:t>
            </w:r>
          </w:p>
        </w:tc>
      </w:tr>
      <w:tr w:rsidR="00EB2B62">
        <w:tc>
          <w:tcPr>
            <w:tcW w:w="1099" w:type="dxa"/>
            <w:vMerge w:val="restart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424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424F3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Кількість забруднюючих речовин в стічних водах, а саме: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Default="00EB2B62">
            <w:pPr>
              <w:jc w:val="center"/>
              <w:rPr>
                <w:sz w:val="26"/>
                <w:szCs w:val="26"/>
              </w:rPr>
            </w:pPr>
          </w:p>
        </w:tc>
      </w:tr>
      <w:tr w:rsidR="00EB2B62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EB2B6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Показники якості стічних вод: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Default="00EB2B62">
            <w:pPr>
              <w:jc w:val="center"/>
              <w:rPr>
                <w:sz w:val="26"/>
                <w:szCs w:val="26"/>
              </w:rPr>
            </w:pPr>
          </w:p>
        </w:tc>
      </w:tr>
      <w:tr w:rsidR="00EB2B62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EB2B6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Завислі речовини 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Default="00424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31</w:t>
            </w:r>
          </w:p>
        </w:tc>
      </w:tr>
      <w:tr w:rsidR="00EB2B62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EB2B6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Азот амонійний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Default="00424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69</w:t>
            </w:r>
          </w:p>
        </w:tc>
      </w:tr>
      <w:tr w:rsidR="00EB2B62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EB2B6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Фосфати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Default="00424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112</w:t>
            </w:r>
          </w:p>
        </w:tc>
      </w:tr>
      <w:tr w:rsidR="00EB2B62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EB2B6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Біологічне споживання кисню (БСК</w:t>
            </w:r>
            <w:r>
              <w:rPr>
                <w:sz w:val="26"/>
                <w:szCs w:val="26"/>
                <w:vertAlign w:val="subscript"/>
                <w:lang w:val="uk-UA"/>
              </w:rPr>
              <w:t>5)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Default="00424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</w:tr>
      <w:tr w:rsidR="00EB2B62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EB2B6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Хлориди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Default="00424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87</w:t>
            </w:r>
          </w:p>
        </w:tc>
      </w:tr>
      <w:tr w:rsidR="00EB2B62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EB2B6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Жири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Default="00424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34</w:t>
            </w:r>
          </w:p>
        </w:tc>
      </w:tr>
      <w:tr w:rsidR="00EB2B62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EB2B6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Синтетичні поверхнево — активні речовини (СПАР)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Default="00424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48</w:t>
            </w:r>
          </w:p>
        </w:tc>
      </w:tr>
      <w:tr w:rsidR="00EB2B62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EB2B6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Сульфати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Default="00424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</w:tr>
      <w:tr w:rsidR="00EB2B62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EB2B6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Залізо 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Default="00424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19</w:t>
            </w:r>
          </w:p>
        </w:tc>
      </w:tr>
      <w:tr w:rsidR="00EB2B62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EB2B6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Цинк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Default="00424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58</w:t>
            </w:r>
          </w:p>
        </w:tc>
      </w:tr>
      <w:tr w:rsidR="00EB2B62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EB2B6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Мідь 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Default="00424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EB2B62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EB2B6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ХСК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Default="00424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76</w:t>
            </w:r>
          </w:p>
        </w:tc>
      </w:tr>
      <w:tr w:rsidR="00EB2B62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EB2B6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Нафтопродукти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Default="00424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</w:tr>
      <w:tr w:rsidR="00EB2B62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EB2B6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Нікель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Default="00424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</w:tr>
      <w:tr w:rsidR="00EB2B62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EB2B6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Хром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Default="00424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</w:tr>
      <w:tr w:rsidR="00EB2B62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EB2B6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Свинець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Default="00424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</w:tr>
      <w:tr w:rsidR="00EB2B62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EB2B6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Сульфіди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Default="00424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</w:tr>
      <w:tr w:rsidR="00EB2B62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EB2B6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424F31">
            <w:pPr>
              <w:pStyle w:val="af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Мініралізація загальна (сухий залишок)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Default="00424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58</w:t>
            </w:r>
          </w:p>
        </w:tc>
      </w:tr>
      <w:tr w:rsidR="00EB2B62">
        <w:tc>
          <w:tcPr>
            <w:tcW w:w="109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424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424F3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Сума надходжень грошових коштів за 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скид понаднормативних забруднюючих речовин в стічних водах споживачів, що скидаються до системи ценралізованого водовідведення згідно виставлених рахунків з урахуванням коефіцієнту кратності, який враховує рівень небезпеки </w:t>
            </w:r>
            <w:r>
              <w:rPr>
                <w:color w:val="000000"/>
                <w:sz w:val="26"/>
                <w:szCs w:val="26"/>
                <w:lang w:val="uk-UA"/>
              </w:rPr>
              <w:lastRenderedPageBreak/>
              <w:t>скинутих забруднень для технологі</w:t>
            </w:r>
            <w:r>
              <w:rPr>
                <w:color w:val="000000"/>
                <w:sz w:val="26"/>
                <w:szCs w:val="26"/>
                <w:lang w:val="uk-UA"/>
              </w:rPr>
              <w:t>чних процесів очищення стічних вод на міських каналізаційних очисних спорудах КП “Міськводоканал” Сумської міської ради та екологічного стану р. Псел.</w:t>
            </w:r>
            <w:r>
              <w:rPr>
                <w:color w:val="000000"/>
                <w:sz w:val="26"/>
                <w:szCs w:val="26"/>
                <w:lang w:val="uk-UA"/>
              </w:rPr>
              <w:tab/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Default="00424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2 059 995,55 грн.</w:t>
            </w:r>
          </w:p>
        </w:tc>
      </w:tr>
      <w:tr w:rsidR="00EB2B62">
        <w:tc>
          <w:tcPr>
            <w:tcW w:w="109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424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424F3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Протяжність мереж водовідведення в м. Суми, що перебуває на балансі               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 КП “Міськводоканал” Сумської міської ради.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Default="00424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336,861 км</w:t>
            </w:r>
          </w:p>
        </w:tc>
      </w:tr>
      <w:tr w:rsidR="00EB2B62">
        <w:tc>
          <w:tcPr>
            <w:tcW w:w="109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424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Default="00424F3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 Частка ветхих та аварійних каналізаційних мереж, колекторів.</w:t>
            </w:r>
          </w:p>
          <w:p w:rsidR="00EB2B62" w:rsidRDefault="00EB2B62">
            <w:pPr>
              <w:shd w:val="clear" w:color="auto" w:fill="FFFFFF"/>
              <w:ind w:firstLine="708"/>
              <w:jc w:val="both"/>
              <w:rPr>
                <w:iCs/>
                <w:color w:val="000000"/>
                <w:spacing w:val="-3"/>
                <w:sz w:val="26"/>
                <w:szCs w:val="26"/>
                <w:lang w:val="uk-UA"/>
              </w:rPr>
            </w:pP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Default="00424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193,645 км</w:t>
            </w:r>
          </w:p>
          <w:p w:rsidR="00EB2B62" w:rsidRDefault="00424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(близько 58 %)</w:t>
            </w:r>
          </w:p>
        </w:tc>
      </w:tr>
    </w:tbl>
    <w:p w:rsidR="00EB2B62" w:rsidRDefault="00EB2B62">
      <w:pPr>
        <w:jc w:val="both"/>
        <w:rPr>
          <w:b/>
          <w:color w:val="000000"/>
          <w:lang w:val="uk-UA"/>
        </w:rPr>
      </w:pPr>
    </w:p>
    <w:p w:rsidR="00EB2B62" w:rsidRDefault="00424F31">
      <w:pPr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  <w:lang w:val="uk-UA"/>
        </w:rPr>
        <w:t>9.</w:t>
      </w:r>
      <w:r>
        <w:rPr>
          <w:color w:val="000000"/>
          <w:sz w:val="26"/>
          <w:szCs w:val="26"/>
          <w:lang w:val="uk-UA"/>
        </w:rPr>
        <w:t xml:space="preserve"> </w:t>
      </w:r>
      <w:r>
        <w:rPr>
          <w:b/>
          <w:iCs/>
          <w:color w:val="000000"/>
          <w:sz w:val="26"/>
          <w:szCs w:val="26"/>
          <w:lang w:val="uk-UA"/>
        </w:rPr>
        <w:t xml:space="preserve">Оцінка результатів реалізації регуляторного акта та ступеня досягнення визначених </w:t>
      </w:r>
      <w:r>
        <w:rPr>
          <w:b/>
          <w:iCs/>
          <w:color w:val="000000"/>
          <w:spacing w:val="-5"/>
          <w:sz w:val="26"/>
          <w:szCs w:val="26"/>
          <w:lang w:val="uk-UA"/>
        </w:rPr>
        <w:t>цілей:</w:t>
      </w:r>
    </w:p>
    <w:p w:rsidR="00EB2B62" w:rsidRDefault="00424F31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З прийняттям даного регуляторного акту досягнуто задекларованих цілей, які ставились за мету при його прийнятті. </w:t>
      </w:r>
      <w:r>
        <w:rPr>
          <w:sz w:val="26"/>
          <w:szCs w:val="26"/>
          <w:lang w:val="uk-UA"/>
        </w:rPr>
        <w:t>Результати реалізації регуляторного акта та ступінь досягнення визначених цілей оцінюється позитивно. Подальше відстеження результативності буд</w:t>
      </w:r>
      <w:r>
        <w:rPr>
          <w:sz w:val="26"/>
          <w:szCs w:val="26"/>
          <w:lang w:val="uk-UA"/>
        </w:rPr>
        <w:t>е здійснюватися у терміни, визначені законодавством, а саме:</w:t>
      </w:r>
    </w:p>
    <w:p w:rsidR="00EB2B62" w:rsidRDefault="00424F3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- повторне відстеження результативності регуляторного акта буде здійснено через рік з дня набрання ним чинності, але не пізніше двох років з дня набрання чинності цим актом; </w:t>
      </w:r>
    </w:p>
    <w:p w:rsidR="00EB2B62" w:rsidRDefault="00424F31">
      <w:p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- періодичне відстеж</w:t>
      </w:r>
      <w:r>
        <w:rPr>
          <w:sz w:val="26"/>
          <w:szCs w:val="26"/>
          <w:lang w:val="uk-UA"/>
        </w:rPr>
        <w:t>ення результативності - один раз на кожні три роки починаючи з дня закінчення заходів з повторного відстеження результативності цього акта.</w:t>
      </w:r>
    </w:p>
    <w:p w:rsidR="00EB2B62" w:rsidRDefault="00EB2B62">
      <w:pPr>
        <w:jc w:val="both"/>
        <w:rPr>
          <w:bCs/>
          <w:sz w:val="26"/>
          <w:szCs w:val="26"/>
          <w:lang w:val="uk-UA"/>
        </w:rPr>
      </w:pPr>
    </w:p>
    <w:p w:rsidR="00EB2B62" w:rsidRDefault="00EB2B62">
      <w:pPr>
        <w:jc w:val="both"/>
        <w:rPr>
          <w:bCs/>
          <w:sz w:val="26"/>
          <w:szCs w:val="26"/>
          <w:lang w:val="uk-UA"/>
        </w:rPr>
      </w:pPr>
    </w:p>
    <w:p w:rsidR="00EB2B62" w:rsidRDefault="00EB2B62">
      <w:pPr>
        <w:jc w:val="both"/>
        <w:rPr>
          <w:bCs/>
          <w:sz w:val="26"/>
          <w:szCs w:val="26"/>
          <w:lang w:val="uk-UA"/>
        </w:rPr>
      </w:pPr>
    </w:p>
    <w:p w:rsidR="00EB2B62" w:rsidRDefault="00EB2B62">
      <w:pPr>
        <w:jc w:val="both"/>
        <w:rPr>
          <w:bCs/>
          <w:sz w:val="26"/>
          <w:szCs w:val="26"/>
          <w:lang w:val="uk-UA"/>
        </w:rPr>
      </w:pPr>
    </w:p>
    <w:p w:rsidR="00EB2B62" w:rsidRDefault="00424F31">
      <w:pPr>
        <w:jc w:val="both"/>
        <w:rPr>
          <w:sz w:val="26"/>
          <w:szCs w:val="26"/>
        </w:rPr>
      </w:pPr>
      <w:r>
        <w:rPr>
          <w:b/>
          <w:sz w:val="26"/>
          <w:szCs w:val="26"/>
          <w:lang w:val="uk-UA"/>
        </w:rPr>
        <w:t xml:space="preserve">Міський голова                                                              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 xml:space="preserve">         О.М. Лисенко</w:t>
      </w:r>
    </w:p>
    <w:p w:rsidR="00EB2B62" w:rsidRDefault="00EB2B62">
      <w:pPr>
        <w:jc w:val="both"/>
        <w:rPr>
          <w:b/>
          <w:sz w:val="26"/>
          <w:szCs w:val="26"/>
          <w:lang w:val="uk-UA"/>
        </w:rPr>
      </w:pPr>
    </w:p>
    <w:p w:rsidR="00EB2B62" w:rsidRDefault="00EB2B62">
      <w:pPr>
        <w:rPr>
          <w:sz w:val="26"/>
          <w:szCs w:val="26"/>
          <w:lang w:val="uk-UA"/>
        </w:rPr>
      </w:pPr>
    </w:p>
    <w:p w:rsidR="00EB2B62" w:rsidRDefault="00EB2B62">
      <w:pPr>
        <w:jc w:val="both"/>
        <w:rPr>
          <w:b/>
          <w:bCs/>
          <w:i/>
          <w:sz w:val="26"/>
          <w:szCs w:val="26"/>
          <w:lang w:val="uk-UA"/>
        </w:rPr>
      </w:pPr>
    </w:p>
    <w:p w:rsidR="00EB2B62" w:rsidRDefault="00EB2B62">
      <w:pPr>
        <w:jc w:val="both"/>
        <w:rPr>
          <w:b/>
          <w:bCs/>
          <w:i/>
          <w:lang w:val="uk-UA"/>
        </w:rPr>
      </w:pPr>
    </w:p>
    <w:p w:rsidR="00EB2B62" w:rsidRDefault="00424F31">
      <w:pPr>
        <w:jc w:val="both"/>
        <w:rPr>
          <w:color w:val="000000"/>
        </w:rPr>
      </w:pPr>
      <w:r>
        <w:rPr>
          <w:color w:val="000000"/>
          <w:lang w:val="uk-UA"/>
        </w:rPr>
        <w:t xml:space="preserve">Журба </w:t>
      </w:r>
      <w:r>
        <w:rPr>
          <w:color w:val="000000"/>
          <w:lang w:val="uk-UA"/>
        </w:rPr>
        <w:t>О.І., 700 - 590</w:t>
      </w:r>
    </w:p>
    <w:p w:rsidR="00EB2B62" w:rsidRDefault="00EB2B62">
      <w:pPr>
        <w:jc w:val="both"/>
        <w:rPr>
          <w:lang w:val="uk-UA"/>
        </w:rPr>
      </w:pPr>
    </w:p>
    <w:p w:rsidR="00EB2B62" w:rsidRDefault="00424F31">
      <w:pPr>
        <w:jc w:val="both"/>
      </w:pPr>
      <w:r>
        <w:rPr>
          <w:color w:val="000000"/>
          <w:lang w:val="uk-UA"/>
        </w:rPr>
        <w:t>Сагач А.Г., 700 - 181</w:t>
      </w:r>
    </w:p>
    <w:sectPr w:rsidR="00EB2B62">
      <w:headerReference w:type="default" r:id="rId7"/>
      <w:pgSz w:w="11906" w:h="16838"/>
      <w:pgMar w:top="850" w:right="850" w:bottom="850" w:left="1417" w:header="708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F31" w:rsidRDefault="00424F31">
      <w:r>
        <w:separator/>
      </w:r>
    </w:p>
  </w:endnote>
  <w:endnote w:type="continuationSeparator" w:id="0">
    <w:p w:rsidR="00424F31" w:rsidRDefault="0042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F31" w:rsidRDefault="00424F31">
      <w:r>
        <w:separator/>
      </w:r>
    </w:p>
  </w:footnote>
  <w:footnote w:type="continuationSeparator" w:id="0">
    <w:p w:rsidR="00424F31" w:rsidRDefault="00424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11712"/>
      <w:docPartObj>
        <w:docPartGallery w:val="Page Numbers (Top of Page)"/>
        <w:docPartUnique/>
      </w:docPartObj>
    </w:sdtPr>
    <w:sdtEndPr/>
    <w:sdtContent>
      <w:p w:rsidR="00EB2B62" w:rsidRDefault="00424F31">
        <w:pPr>
          <w:pStyle w:val="af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32D75">
          <w:rPr>
            <w:noProof/>
          </w:rPr>
          <w:t>2</w:t>
        </w:r>
        <w:r>
          <w:fldChar w:fldCharType="end"/>
        </w:r>
      </w:p>
    </w:sdtContent>
  </w:sdt>
  <w:p w:rsidR="00EB2B62" w:rsidRDefault="00EB2B62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62"/>
    <w:rsid w:val="00424F31"/>
    <w:rsid w:val="00B32D75"/>
    <w:rsid w:val="00BB569C"/>
    <w:rsid w:val="00EB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5DF72-BA6F-4801-87E6-9826AB54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"/>
    <w:semiHidden/>
    <w:qFormat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Strong"/>
    <w:basedOn w:val="a0"/>
    <w:qFormat/>
    <w:rsid w:val="00764B93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15">
    <w:name w:val="rvts15"/>
    <w:basedOn w:val="a0"/>
    <w:qFormat/>
    <w:rsid w:val="00B52494"/>
  </w:style>
  <w:style w:type="character" w:customStyle="1" w:styleId="HTML">
    <w:name w:val="Стандартный HTML Знак"/>
    <w:basedOn w:val="a0"/>
    <w:link w:val="HTML"/>
    <w:uiPriority w:val="99"/>
    <w:qFormat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a5">
    <w:name w:val="Верхний колонтитул Знак"/>
    <w:basedOn w:val="a0"/>
    <w:uiPriority w:val="99"/>
    <w:qFormat/>
    <w:rsid w:val="002E19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uiPriority w:val="99"/>
    <w:qFormat/>
    <w:rsid w:val="002E19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rmal (Web)"/>
    <w:basedOn w:val="a"/>
    <w:semiHidden/>
    <w:unhideWhenUsed/>
    <w:qFormat/>
    <w:rsid w:val="00764B93"/>
    <w:pPr>
      <w:spacing w:beforeAutospacing="1" w:afterAutospacing="1"/>
    </w:pPr>
  </w:style>
  <w:style w:type="paragraph" w:styleId="30">
    <w:name w:val="Body Text 3"/>
    <w:basedOn w:val="a"/>
    <w:semiHidden/>
    <w:unhideWhenUsed/>
    <w:qFormat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paragraph" w:styleId="ad">
    <w:name w:val="Balloon Text"/>
    <w:basedOn w:val="a"/>
    <w:uiPriority w:val="99"/>
    <w:semiHidden/>
    <w:unhideWhenUsed/>
    <w:qFormat/>
    <w:rsid w:val="00DE113C"/>
    <w:rPr>
      <w:rFonts w:ascii="Segoe UI" w:hAnsi="Segoe UI" w:cs="Segoe UI"/>
      <w:sz w:val="18"/>
      <w:szCs w:val="18"/>
    </w:rPr>
  </w:style>
  <w:style w:type="paragraph" w:customStyle="1" w:styleId="ae">
    <w:name w:val="Знак"/>
    <w:basedOn w:val="a"/>
    <w:qFormat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qFormat/>
    <w:rsid w:val="00B52494"/>
    <w:pPr>
      <w:spacing w:beforeAutospacing="1" w:afterAutospacing="1"/>
    </w:pPr>
  </w:style>
  <w:style w:type="paragraph" w:styleId="HTML0">
    <w:name w:val="HTML Preformatted"/>
    <w:basedOn w:val="a"/>
    <w:uiPriority w:val="99"/>
    <w:qFormat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af">
    <w:name w:val="header"/>
    <w:basedOn w:val="a"/>
    <w:uiPriority w:val="99"/>
    <w:unhideWhenUsed/>
    <w:rsid w:val="002E1921"/>
    <w:pPr>
      <w:tabs>
        <w:tab w:val="center" w:pos="4680"/>
        <w:tab w:val="right" w:pos="9360"/>
      </w:tabs>
    </w:pPr>
  </w:style>
  <w:style w:type="paragraph" w:styleId="af0">
    <w:name w:val="footer"/>
    <w:basedOn w:val="a"/>
    <w:uiPriority w:val="99"/>
    <w:unhideWhenUsed/>
    <w:rsid w:val="002E1921"/>
    <w:pPr>
      <w:tabs>
        <w:tab w:val="center" w:pos="4680"/>
        <w:tab w:val="right" w:pos="9360"/>
      </w:tabs>
    </w:p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</w:style>
  <w:style w:type="table" w:styleId="af3">
    <w:name w:val="Table Grid"/>
    <w:basedOn w:val="a1"/>
    <w:uiPriority w:val="39"/>
    <w:rsid w:val="0002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429F8-24CE-4C64-A410-0EFAA2F1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Мельник Юлія Миколаївна</cp:lastModifiedBy>
  <cp:revision>2</cp:revision>
  <dcterms:created xsi:type="dcterms:W3CDTF">2020-06-16T12:45:00Z</dcterms:created>
  <dcterms:modified xsi:type="dcterms:W3CDTF">2020-06-16T12:45:00Z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