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CD" w:rsidRDefault="00A351CD" w:rsidP="00A351CD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  <w:r>
        <w:rPr>
          <w:b/>
          <w:sz w:val="28"/>
          <w:szCs w:val="28"/>
          <w:lang w:val="uk-UA"/>
        </w:rPr>
        <w:t xml:space="preserve">         </w:t>
      </w:r>
    </w:p>
    <w:p w:rsidR="00764B93" w:rsidRPr="005A60E4" w:rsidRDefault="00A351CD" w:rsidP="00A351CD">
      <w:pPr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5A60E4" w:rsidRPr="005A60E4">
        <w:rPr>
          <w:b/>
          <w:sz w:val="32"/>
          <w:szCs w:val="32"/>
          <w:lang w:val="uk-UA"/>
        </w:rPr>
        <w:t>Звіт</w:t>
      </w:r>
    </w:p>
    <w:p w:rsidR="00FD2211" w:rsidRPr="00067C9F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A358B4">
        <w:rPr>
          <w:b/>
          <w:sz w:val="28"/>
          <w:szCs w:val="28"/>
          <w:lang w:val="uk-UA"/>
        </w:rPr>
        <w:t>повторне</w:t>
      </w:r>
      <w:r>
        <w:rPr>
          <w:b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067C9F">
        <w:rPr>
          <w:b/>
          <w:sz w:val="28"/>
          <w:szCs w:val="28"/>
          <w:lang w:val="uk-UA"/>
        </w:rPr>
        <w:t>6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916294">
        <w:rPr>
          <w:b/>
          <w:sz w:val="28"/>
          <w:szCs w:val="28"/>
          <w:lang w:val="uk-UA"/>
        </w:rPr>
        <w:t>ТОВ «</w:t>
      </w:r>
      <w:r w:rsidR="00067C9F">
        <w:rPr>
          <w:b/>
          <w:sz w:val="28"/>
          <w:szCs w:val="28"/>
          <w:lang w:val="uk-UA"/>
        </w:rPr>
        <w:t>Престиж Лайн»</w:t>
      </w:r>
    </w:p>
    <w:p w:rsidR="005A60E4" w:rsidRPr="00067C9F" w:rsidRDefault="005A60E4" w:rsidP="00764B93">
      <w:pPr>
        <w:jc w:val="both"/>
        <w:rPr>
          <w:sz w:val="8"/>
          <w:szCs w:val="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067C9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користування, що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916294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у звичайному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режимі</w:t>
      </w:r>
      <w:r w:rsidR="003F1C19">
        <w:rPr>
          <w:sz w:val="28"/>
          <w:szCs w:val="28"/>
          <w:lang w:val="uk-UA"/>
        </w:rPr>
        <w:t xml:space="preserve"> </w:t>
      </w:r>
      <w:r w:rsidR="00916294">
        <w:rPr>
          <w:sz w:val="28"/>
          <w:szCs w:val="28"/>
          <w:lang w:val="uk-UA"/>
        </w:rPr>
        <w:t xml:space="preserve">ТОВ </w:t>
      </w:r>
      <w:r w:rsidR="00067C9F" w:rsidRPr="00067C9F">
        <w:rPr>
          <w:sz w:val="28"/>
          <w:szCs w:val="28"/>
          <w:lang w:val="uk-UA"/>
        </w:rPr>
        <w:t>«Престиж Лайн»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E80E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A358B4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</w:t>
      </w:r>
      <w:r w:rsidR="00A358B4">
        <w:rPr>
          <w:sz w:val="28"/>
          <w:szCs w:val="28"/>
          <w:lang w:val="uk-UA"/>
        </w:rPr>
        <w:t xml:space="preserve">  </w:t>
      </w:r>
      <w:r w:rsidR="004478A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F7C81">
        <w:rPr>
          <w:sz w:val="28"/>
          <w:szCs w:val="28"/>
          <w:lang w:val="uk-UA"/>
        </w:rPr>
        <w:t>7</w:t>
      </w:r>
      <w:r w:rsidR="005A2AA0">
        <w:rPr>
          <w:sz w:val="28"/>
          <w:szCs w:val="28"/>
          <w:lang w:val="uk-UA"/>
        </w:rPr>
        <w:t>.201</w:t>
      </w:r>
      <w:r w:rsidR="00FF7C81"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FF7C8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FF7C81">
        <w:rPr>
          <w:sz w:val="28"/>
          <w:szCs w:val="28"/>
          <w:lang w:val="uk-UA"/>
        </w:rPr>
        <w:t>9</w:t>
      </w:r>
      <w:bookmarkStart w:id="0" w:name="_GoBack"/>
      <w:bookmarkEnd w:id="0"/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A358B4">
        <w:rPr>
          <w:color w:val="000000"/>
          <w:sz w:val="28"/>
          <w:szCs w:val="28"/>
          <w:lang w:val="uk-UA"/>
        </w:rPr>
        <w:t>повторне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A358B4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067C9F">
        <w:rPr>
          <w:sz w:val="28"/>
          <w:szCs w:val="28"/>
          <w:lang w:val="uk-UA"/>
        </w:rPr>
        <w:t>6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067C9F">
        <w:rPr>
          <w:sz w:val="28"/>
          <w:szCs w:val="28"/>
          <w:lang w:val="uk-UA"/>
        </w:rPr>
        <w:t>ТОВ</w:t>
      </w:r>
      <w:r w:rsidR="00067C9F" w:rsidRPr="00067C9F">
        <w:rPr>
          <w:sz w:val="28"/>
          <w:szCs w:val="28"/>
          <w:lang w:val="uk-UA"/>
        </w:rPr>
        <w:t xml:space="preserve"> «Престиж Лайн»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A358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</w:t>
            </w:r>
            <w:r w:rsidR="00A358B4">
              <w:rPr>
                <w:b/>
                <w:sz w:val="28"/>
                <w:szCs w:val="28"/>
                <w:lang w:val="uk-UA"/>
              </w:rPr>
              <w:t>7</w:t>
            </w:r>
            <w:r w:rsidRPr="009D2D3F">
              <w:rPr>
                <w:b/>
                <w:sz w:val="28"/>
                <w:szCs w:val="28"/>
                <w:lang w:val="uk-UA"/>
              </w:rPr>
              <w:t>.201</w:t>
            </w:r>
            <w:r w:rsidR="00A358B4">
              <w:rPr>
                <w:b/>
                <w:sz w:val="28"/>
                <w:szCs w:val="28"/>
                <w:lang w:val="uk-UA"/>
              </w:rPr>
              <w:t>9</w:t>
            </w:r>
            <w:r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A358B4">
              <w:rPr>
                <w:b/>
                <w:sz w:val="28"/>
                <w:szCs w:val="28"/>
                <w:lang w:val="uk-UA"/>
              </w:rPr>
              <w:t>20</w:t>
            </w:r>
            <w:r w:rsidRPr="009D2D3F">
              <w:rPr>
                <w:b/>
                <w:sz w:val="28"/>
                <w:szCs w:val="28"/>
                <w:lang w:val="uk-UA"/>
              </w:rPr>
              <w:t>.08.201</w:t>
            </w:r>
            <w:r w:rsidR="00A358B4"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067C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067C9F"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3F1C19" w:rsidP="003F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A6DF9">
              <w:rPr>
                <w:sz w:val="28"/>
                <w:szCs w:val="28"/>
                <w:lang w:val="uk-UA"/>
              </w:rPr>
              <w:t xml:space="preserve">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х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A358B4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</w:t>
            </w:r>
            <w:r w:rsidR="00A358B4">
              <w:rPr>
                <w:sz w:val="28"/>
                <w:szCs w:val="28"/>
                <w:lang w:val="uk-UA"/>
              </w:rPr>
              <w:t>9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A358B4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.07.201</w:t>
            </w:r>
            <w:r w:rsidR="00A358B4">
              <w:rPr>
                <w:sz w:val="28"/>
                <w:szCs w:val="28"/>
                <w:lang w:val="uk-UA"/>
              </w:rPr>
              <w:t>9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067C9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3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A358B4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A358B4" w:rsidRPr="00A358B4" w:rsidRDefault="00F00AD3" w:rsidP="00A358B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A358B4">
        <w:rPr>
          <w:color w:val="000000"/>
          <w:sz w:val="28"/>
          <w:szCs w:val="28"/>
          <w:lang w:val="uk-UA"/>
        </w:rPr>
        <w:t xml:space="preserve"> </w:t>
      </w:r>
      <w:r w:rsidR="00A358B4" w:rsidRPr="00A358B4">
        <w:rPr>
          <w:color w:val="000000"/>
          <w:sz w:val="28"/>
          <w:szCs w:val="28"/>
          <w:lang w:val="uk-UA"/>
        </w:rPr>
        <w:t>та 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1175.</w:t>
      </w:r>
    </w:p>
    <w:p w:rsidR="00A358B4" w:rsidRPr="00A358B4" w:rsidRDefault="00A358B4" w:rsidP="00A358B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358B4">
        <w:rPr>
          <w:color w:val="000000"/>
          <w:sz w:val="28"/>
          <w:szCs w:val="28"/>
          <w:lang w:val="uk-UA"/>
        </w:rPr>
        <w:t xml:space="preserve">21.06.2019 на офіційному веб-сайті Сумської міської ради було оприлюднено проект рішення виконавчого комітету Сумської міської ради  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</w:t>
      </w:r>
      <w:r>
        <w:rPr>
          <w:color w:val="000000"/>
          <w:sz w:val="28"/>
          <w:szCs w:val="28"/>
          <w:lang w:val="uk-UA"/>
        </w:rPr>
        <w:t xml:space="preserve">ТОВ </w:t>
      </w:r>
      <w:r w:rsidRPr="00A358B4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Престиж Лайн</w:t>
      </w:r>
      <w:r w:rsidRPr="00A358B4">
        <w:rPr>
          <w:color w:val="000000"/>
          <w:sz w:val="28"/>
          <w:szCs w:val="28"/>
          <w:lang w:val="uk-UA"/>
        </w:rPr>
        <w:t>».</w:t>
      </w:r>
      <w:r w:rsidRPr="00A358B4">
        <w:rPr>
          <w:color w:val="000000"/>
          <w:sz w:val="28"/>
          <w:szCs w:val="28"/>
          <w:lang w:val="uk-UA"/>
        </w:rPr>
        <w:tab/>
      </w:r>
    </w:p>
    <w:p w:rsidR="00A358B4" w:rsidRPr="00A358B4" w:rsidRDefault="00A358B4" w:rsidP="00A358B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358B4">
        <w:rPr>
          <w:color w:val="000000"/>
          <w:sz w:val="28"/>
          <w:szCs w:val="28"/>
          <w:lang w:val="uk-UA"/>
        </w:rPr>
        <w:t>Враховуючи вищевикладене, з моменту затвердження даного рішення подальше відстеження  рішення виконавчого комітету Сумської міської ради від 29.01.2018 № 5</w:t>
      </w:r>
      <w:r>
        <w:rPr>
          <w:color w:val="000000"/>
          <w:sz w:val="28"/>
          <w:szCs w:val="28"/>
          <w:lang w:val="uk-UA"/>
        </w:rPr>
        <w:t>6</w:t>
      </w:r>
      <w:r w:rsidRPr="00A358B4">
        <w:rPr>
          <w:color w:val="000000"/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  </w:t>
      </w:r>
      <w:r>
        <w:rPr>
          <w:color w:val="000000"/>
          <w:sz w:val="28"/>
          <w:szCs w:val="28"/>
          <w:lang w:val="uk-UA"/>
        </w:rPr>
        <w:t>ТОВ</w:t>
      </w:r>
      <w:r w:rsidRPr="00A358B4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Престиж Лайн</w:t>
      </w:r>
      <w:r w:rsidRPr="00A358B4">
        <w:rPr>
          <w:color w:val="000000"/>
          <w:sz w:val="28"/>
          <w:szCs w:val="28"/>
          <w:lang w:val="uk-UA"/>
        </w:rPr>
        <w:t>» здійснюватися  не буде.</w:t>
      </w:r>
    </w:p>
    <w:p w:rsidR="00764B93" w:rsidRPr="00D47A32" w:rsidRDefault="00A358B4" w:rsidP="00A358B4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A358B4">
        <w:rPr>
          <w:color w:val="000000"/>
          <w:sz w:val="28"/>
          <w:szCs w:val="28"/>
          <w:lang w:val="uk-UA"/>
        </w:rPr>
        <w:t xml:space="preserve">  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67C9F"/>
    <w:rsid w:val="0008536B"/>
    <w:rsid w:val="000D69C0"/>
    <w:rsid w:val="000F478B"/>
    <w:rsid w:val="00102AB9"/>
    <w:rsid w:val="001268A3"/>
    <w:rsid w:val="001529F0"/>
    <w:rsid w:val="001F24EE"/>
    <w:rsid w:val="00214332"/>
    <w:rsid w:val="0022213E"/>
    <w:rsid w:val="002309F7"/>
    <w:rsid w:val="00235821"/>
    <w:rsid w:val="002741BB"/>
    <w:rsid w:val="002A697E"/>
    <w:rsid w:val="00350E18"/>
    <w:rsid w:val="00394234"/>
    <w:rsid w:val="003C2C77"/>
    <w:rsid w:val="003D4772"/>
    <w:rsid w:val="003E540D"/>
    <w:rsid w:val="003F1C19"/>
    <w:rsid w:val="00403484"/>
    <w:rsid w:val="00405876"/>
    <w:rsid w:val="00406A21"/>
    <w:rsid w:val="00420BBC"/>
    <w:rsid w:val="00421B45"/>
    <w:rsid w:val="004478AB"/>
    <w:rsid w:val="004B0E55"/>
    <w:rsid w:val="004E71E0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8520A1"/>
    <w:rsid w:val="00876A7A"/>
    <w:rsid w:val="00886776"/>
    <w:rsid w:val="008A74C9"/>
    <w:rsid w:val="008B0E6C"/>
    <w:rsid w:val="008E0DEE"/>
    <w:rsid w:val="00916294"/>
    <w:rsid w:val="00925750"/>
    <w:rsid w:val="00984121"/>
    <w:rsid w:val="009A1D3C"/>
    <w:rsid w:val="009D2D3F"/>
    <w:rsid w:val="009F249A"/>
    <w:rsid w:val="00A351CD"/>
    <w:rsid w:val="00A358B4"/>
    <w:rsid w:val="00A41F51"/>
    <w:rsid w:val="00A9725F"/>
    <w:rsid w:val="00AB2710"/>
    <w:rsid w:val="00AE61DC"/>
    <w:rsid w:val="00B33829"/>
    <w:rsid w:val="00B52494"/>
    <w:rsid w:val="00B95646"/>
    <w:rsid w:val="00BA59B9"/>
    <w:rsid w:val="00C149ED"/>
    <w:rsid w:val="00C964E2"/>
    <w:rsid w:val="00CA6DF9"/>
    <w:rsid w:val="00CC1328"/>
    <w:rsid w:val="00D06B0E"/>
    <w:rsid w:val="00D15D68"/>
    <w:rsid w:val="00D47A32"/>
    <w:rsid w:val="00D53738"/>
    <w:rsid w:val="00DE113C"/>
    <w:rsid w:val="00E43F06"/>
    <w:rsid w:val="00E5601F"/>
    <w:rsid w:val="00E80EFC"/>
    <w:rsid w:val="00EE6A4D"/>
    <w:rsid w:val="00F00AD3"/>
    <w:rsid w:val="00F02AA1"/>
    <w:rsid w:val="00F97095"/>
    <w:rsid w:val="00FD2211"/>
    <w:rsid w:val="00FD3A3C"/>
    <w:rsid w:val="00FF31DC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7917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171D-93A9-46E0-984D-CE33C473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10</cp:revision>
  <cp:lastPrinted>2019-08-28T07:53:00Z</cp:lastPrinted>
  <dcterms:created xsi:type="dcterms:W3CDTF">2018-09-03T13:32:00Z</dcterms:created>
  <dcterms:modified xsi:type="dcterms:W3CDTF">2019-08-28T07:56:00Z</dcterms:modified>
</cp:coreProperties>
</file>