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3AF" w:rsidRPr="007B0BFC" w:rsidRDefault="007B0BFC" w:rsidP="00453565">
      <w:pPr>
        <w:rPr>
          <w:bCs/>
          <w:sz w:val="28"/>
          <w:szCs w:val="28"/>
          <w:u w:val="single"/>
          <w:lang w:val="uk-UA"/>
        </w:rPr>
      </w:pPr>
      <w:proofErr w:type="gramStart"/>
      <w:r w:rsidRPr="007B0BFC">
        <w:rPr>
          <w:bCs/>
          <w:sz w:val="28"/>
          <w:szCs w:val="28"/>
          <w:u w:val="single"/>
          <w:lang w:val="en-US"/>
        </w:rPr>
        <w:t xml:space="preserve">26 </w:t>
      </w:r>
      <w:r w:rsidRPr="007B0BFC">
        <w:rPr>
          <w:bCs/>
          <w:sz w:val="28"/>
          <w:szCs w:val="28"/>
          <w:u w:val="single"/>
          <w:lang w:val="uk-UA"/>
        </w:rPr>
        <w:t>вересня</w:t>
      </w:r>
      <w:proofErr w:type="gramEnd"/>
      <w:r w:rsidRPr="007B0BFC">
        <w:rPr>
          <w:bCs/>
          <w:sz w:val="28"/>
          <w:szCs w:val="28"/>
          <w:u w:val="single"/>
          <w:lang w:val="uk-UA"/>
        </w:rPr>
        <w:t xml:space="preserve"> 2019 року</w:t>
      </w:r>
    </w:p>
    <w:p w:rsidR="00D46D9F" w:rsidRDefault="00D46D9F" w:rsidP="00511F3E">
      <w:pPr>
        <w:jc w:val="center"/>
        <w:rPr>
          <w:b/>
          <w:bCs/>
          <w:sz w:val="28"/>
          <w:szCs w:val="28"/>
          <w:lang w:val="uk-UA"/>
        </w:rPr>
      </w:pPr>
    </w:p>
    <w:p w:rsidR="00D773AF" w:rsidRPr="00D5744E" w:rsidRDefault="00D773AF" w:rsidP="00511F3E">
      <w:pPr>
        <w:jc w:val="center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Звіт </w:t>
      </w:r>
    </w:p>
    <w:p w:rsidR="00D773AF" w:rsidRPr="00720A26" w:rsidRDefault="00D773AF" w:rsidP="005B5847">
      <w:pPr>
        <w:pStyle w:val="1"/>
        <w:jc w:val="both"/>
        <w:rPr>
          <w:rStyle w:val="a4"/>
          <w:b w:val="0"/>
          <w:bCs w:val="0"/>
        </w:rPr>
      </w:pPr>
      <w:r w:rsidRPr="00720A26">
        <w:rPr>
          <w:rStyle w:val="a4"/>
        </w:rPr>
        <w:t xml:space="preserve">про </w:t>
      </w:r>
      <w:r w:rsidR="00F61768">
        <w:rPr>
          <w:rStyle w:val="a4"/>
        </w:rPr>
        <w:t>базове</w:t>
      </w:r>
      <w:r>
        <w:rPr>
          <w:rStyle w:val="a4"/>
        </w:rPr>
        <w:t xml:space="preserve"> </w:t>
      </w:r>
      <w:r w:rsidRPr="00720A26">
        <w:rPr>
          <w:rStyle w:val="a4"/>
        </w:rPr>
        <w:t>від</w:t>
      </w:r>
      <w:bookmarkStart w:id="0" w:name="_GoBack"/>
      <w:bookmarkEnd w:id="0"/>
      <w:r w:rsidRPr="00720A26">
        <w:rPr>
          <w:rStyle w:val="a4"/>
        </w:rPr>
        <w:t xml:space="preserve">стеження результативності регуляторного </w:t>
      </w:r>
      <w:proofErr w:type="spellStart"/>
      <w:r w:rsidRPr="00720A26">
        <w:rPr>
          <w:rStyle w:val="a4"/>
        </w:rPr>
        <w:t>акта</w:t>
      </w:r>
      <w:proofErr w:type="spellEnd"/>
      <w:r w:rsidRPr="00720A26">
        <w:rPr>
          <w:rStyle w:val="a4"/>
        </w:rPr>
        <w:t xml:space="preserve"> – рішення Сумської міської ради від </w:t>
      </w:r>
      <w:r w:rsidR="00F61768">
        <w:rPr>
          <w:rStyle w:val="a4"/>
        </w:rPr>
        <w:t>06</w:t>
      </w:r>
      <w:r w:rsidR="00BB405B">
        <w:rPr>
          <w:rStyle w:val="a4"/>
        </w:rPr>
        <w:t xml:space="preserve"> лютого </w:t>
      </w:r>
      <w:r w:rsidRPr="00720A26">
        <w:rPr>
          <w:rStyle w:val="a4"/>
        </w:rPr>
        <w:t>201</w:t>
      </w:r>
      <w:r w:rsidR="00F61768">
        <w:rPr>
          <w:rStyle w:val="a4"/>
        </w:rPr>
        <w:t xml:space="preserve">9 </w:t>
      </w:r>
      <w:r w:rsidRPr="00720A26">
        <w:rPr>
          <w:rStyle w:val="a4"/>
        </w:rPr>
        <w:t>р</w:t>
      </w:r>
      <w:r w:rsidR="00240969">
        <w:rPr>
          <w:rStyle w:val="a4"/>
        </w:rPr>
        <w:t>оку</w:t>
      </w:r>
      <w:r w:rsidRPr="00720A26">
        <w:rPr>
          <w:rStyle w:val="a4"/>
        </w:rPr>
        <w:t xml:space="preserve"> № </w:t>
      </w:r>
      <w:r w:rsidR="00F61768">
        <w:rPr>
          <w:rStyle w:val="a4"/>
        </w:rPr>
        <w:t>4507</w:t>
      </w:r>
      <w:r w:rsidRPr="00720A26">
        <w:rPr>
          <w:rStyle w:val="a4"/>
        </w:rPr>
        <w:t xml:space="preserve">-МР «Про внесення змін до рішення Сумської міської ради від 01 лютого 2012 року № 1186-МР </w:t>
      </w:r>
      <w:r>
        <w:rPr>
          <w:rStyle w:val="a4"/>
        </w:rPr>
        <w:t xml:space="preserve">                    </w:t>
      </w:r>
      <w:r w:rsidRPr="00720A26">
        <w:rPr>
          <w:rStyle w:val="a4"/>
        </w:rPr>
        <w:t>«Про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майна» (зі змінами)</w:t>
      </w:r>
      <w:r>
        <w:rPr>
          <w:rStyle w:val="a4"/>
        </w:rPr>
        <w:t xml:space="preserve">» </w:t>
      </w:r>
    </w:p>
    <w:p w:rsidR="00D773AF" w:rsidRPr="00511F3E" w:rsidRDefault="00D773AF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D773AF" w:rsidRPr="00511F3E" w:rsidRDefault="00D773AF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1. Вид та назва регуляторного </w:t>
      </w:r>
      <w:proofErr w:type="spellStart"/>
      <w:r w:rsidRPr="00511F3E">
        <w:rPr>
          <w:b/>
          <w:bCs/>
          <w:sz w:val="28"/>
          <w:szCs w:val="28"/>
          <w:lang w:val="uk-UA"/>
        </w:rPr>
        <w:t>акта</w:t>
      </w:r>
      <w:proofErr w:type="spellEnd"/>
      <w:r w:rsidRPr="00511F3E">
        <w:rPr>
          <w:b/>
          <w:bCs/>
          <w:sz w:val="28"/>
          <w:szCs w:val="28"/>
          <w:lang w:val="uk-UA"/>
        </w:rPr>
        <w:t xml:space="preserve">: </w:t>
      </w:r>
    </w:p>
    <w:p w:rsidR="00D773AF" w:rsidRDefault="00D773AF" w:rsidP="005B5847">
      <w:pPr>
        <w:pStyle w:val="1"/>
        <w:ind w:firstLine="708"/>
        <w:jc w:val="both"/>
        <w:rPr>
          <w:rStyle w:val="a4"/>
          <w:b w:val="0"/>
        </w:rPr>
      </w:pPr>
      <w:r w:rsidRPr="00720A26">
        <w:rPr>
          <w:rStyle w:val="a4"/>
          <w:b w:val="0"/>
        </w:rPr>
        <w:t xml:space="preserve">Рішення Сумської міської ради </w:t>
      </w:r>
      <w:r w:rsidR="00F61768" w:rsidRPr="00F61768">
        <w:rPr>
          <w:rStyle w:val="a4"/>
          <w:b w:val="0"/>
        </w:rPr>
        <w:t>від 06</w:t>
      </w:r>
      <w:r w:rsidR="00240969">
        <w:rPr>
          <w:rStyle w:val="a4"/>
          <w:b w:val="0"/>
        </w:rPr>
        <w:t xml:space="preserve"> лютого </w:t>
      </w:r>
      <w:r w:rsidR="00F61768" w:rsidRPr="00F61768">
        <w:rPr>
          <w:rStyle w:val="a4"/>
          <w:b w:val="0"/>
        </w:rPr>
        <w:t>2019 р</w:t>
      </w:r>
      <w:r w:rsidR="00240969">
        <w:rPr>
          <w:rStyle w:val="a4"/>
          <w:b w:val="0"/>
        </w:rPr>
        <w:t>оку</w:t>
      </w:r>
      <w:r w:rsidR="00F61768" w:rsidRPr="00F61768">
        <w:rPr>
          <w:rStyle w:val="a4"/>
          <w:b w:val="0"/>
        </w:rPr>
        <w:t xml:space="preserve"> № 4507-МР</w:t>
      </w:r>
      <w:r w:rsidRPr="00720A26">
        <w:rPr>
          <w:rStyle w:val="a4"/>
          <w:b w:val="0"/>
        </w:rPr>
        <w:t xml:space="preserve"> «Про внесення змін до рішення Сумської міської ради від 01 лютого 2012 року </w:t>
      </w:r>
      <w:r>
        <w:rPr>
          <w:rStyle w:val="a4"/>
          <w:b w:val="0"/>
        </w:rPr>
        <w:t xml:space="preserve">              </w:t>
      </w:r>
      <w:r w:rsidRPr="00720A26">
        <w:rPr>
          <w:rStyle w:val="a4"/>
          <w:b w:val="0"/>
        </w:rPr>
        <w:t>№ 1186-МР «Про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майна» (зі змінами)»</w:t>
      </w:r>
      <w:r>
        <w:rPr>
          <w:rStyle w:val="a4"/>
          <w:b w:val="0"/>
        </w:rPr>
        <w:t>.</w:t>
      </w:r>
    </w:p>
    <w:p w:rsidR="00D773AF" w:rsidRPr="00720A26" w:rsidRDefault="00D773AF" w:rsidP="00720A26">
      <w:pPr>
        <w:rPr>
          <w:lang w:val="uk-UA"/>
        </w:rPr>
      </w:pPr>
    </w:p>
    <w:p w:rsidR="00D773AF" w:rsidRPr="00511F3E" w:rsidRDefault="00D773AF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2. Виконавець заходів з відстеження: </w:t>
      </w:r>
    </w:p>
    <w:p w:rsidR="00D773AF" w:rsidRPr="00511F3E" w:rsidRDefault="00D773AF" w:rsidP="00511F3E">
      <w:pPr>
        <w:ind w:firstLine="708"/>
        <w:jc w:val="both"/>
        <w:rPr>
          <w:sz w:val="28"/>
          <w:szCs w:val="28"/>
          <w:lang w:val="uk-UA"/>
        </w:rPr>
      </w:pPr>
      <w:r w:rsidRPr="00511F3E">
        <w:rPr>
          <w:sz w:val="28"/>
          <w:szCs w:val="28"/>
          <w:lang w:val="uk-UA"/>
        </w:rPr>
        <w:t xml:space="preserve">Департамент </w:t>
      </w:r>
      <w:r>
        <w:rPr>
          <w:sz w:val="28"/>
          <w:szCs w:val="28"/>
          <w:lang w:val="uk-UA"/>
        </w:rPr>
        <w:t>забезпечення ресурсних платежів</w:t>
      </w:r>
      <w:r w:rsidRPr="00511F3E">
        <w:rPr>
          <w:sz w:val="28"/>
          <w:szCs w:val="28"/>
          <w:lang w:val="uk-UA"/>
        </w:rPr>
        <w:t xml:space="preserve"> Сумської міської ради</w:t>
      </w:r>
      <w:r>
        <w:rPr>
          <w:sz w:val="28"/>
          <w:szCs w:val="28"/>
          <w:lang w:val="uk-UA"/>
        </w:rPr>
        <w:t>.</w:t>
      </w:r>
    </w:p>
    <w:p w:rsidR="00D773AF" w:rsidRPr="00511F3E" w:rsidRDefault="00D773AF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D773AF" w:rsidRPr="00511F3E" w:rsidRDefault="00D773AF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3.Цілі прийняття </w:t>
      </w:r>
      <w:proofErr w:type="spellStart"/>
      <w:r w:rsidRPr="00511F3E">
        <w:rPr>
          <w:b/>
          <w:bCs/>
          <w:sz w:val="28"/>
          <w:szCs w:val="28"/>
          <w:lang w:val="uk-UA"/>
        </w:rPr>
        <w:t>акта</w:t>
      </w:r>
      <w:proofErr w:type="spellEnd"/>
      <w:r w:rsidRPr="00511F3E">
        <w:rPr>
          <w:b/>
          <w:bCs/>
          <w:sz w:val="28"/>
          <w:szCs w:val="28"/>
          <w:lang w:val="uk-UA"/>
        </w:rPr>
        <w:t xml:space="preserve">: </w:t>
      </w:r>
    </w:p>
    <w:p w:rsidR="00F61768" w:rsidRDefault="00D773AF" w:rsidP="00F61768">
      <w:pPr>
        <w:ind w:firstLine="540"/>
        <w:jc w:val="both"/>
        <w:rPr>
          <w:sz w:val="28"/>
          <w:szCs w:val="28"/>
          <w:lang w:val="uk-UA"/>
        </w:rPr>
      </w:pPr>
      <w:r w:rsidRPr="00F61768">
        <w:rPr>
          <w:sz w:val="28"/>
          <w:szCs w:val="28"/>
          <w:lang w:val="uk-UA"/>
        </w:rPr>
        <w:t xml:space="preserve">- </w:t>
      </w:r>
      <w:r w:rsidR="00F61768">
        <w:rPr>
          <w:sz w:val="28"/>
          <w:szCs w:val="28"/>
          <w:lang w:val="uk-UA"/>
        </w:rPr>
        <w:t xml:space="preserve">збільшити розмір місячної орендної плати для розміщення антен стільникового зв’язку, </w:t>
      </w:r>
      <w:r w:rsidR="00F61768">
        <w:rPr>
          <w:sz w:val="28"/>
          <w:szCs w:val="28"/>
          <w:lang w:val="en-US"/>
        </w:rPr>
        <w:t>CDMA</w:t>
      </w:r>
      <w:r w:rsidR="00F61768" w:rsidRPr="00742454">
        <w:rPr>
          <w:sz w:val="28"/>
          <w:szCs w:val="28"/>
          <w:lang w:val="uk-UA"/>
        </w:rPr>
        <w:t xml:space="preserve"> </w:t>
      </w:r>
      <w:r w:rsidR="00F61768">
        <w:rPr>
          <w:sz w:val="28"/>
          <w:szCs w:val="28"/>
          <w:lang w:val="uk-UA"/>
        </w:rPr>
        <w:t>зв’язку, мобільного зв’язку</w:t>
      </w:r>
      <w:r w:rsidR="00F61768" w:rsidRPr="00B14B38">
        <w:rPr>
          <w:sz w:val="28"/>
          <w:szCs w:val="28"/>
          <w:lang w:val="uk-UA"/>
        </w:rPr>
        <w:t>;</w:t>
      </w:r>
    </w:p>
    <w:p w:rsidR="00F61768" w:rsidRDefault="00F61768" w:rsidP="00F6176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збільшити орендну ставку для розміщення суб’єктів господарювання, що діють на основі приватної власності і провадять господарську діяльність з медичної практики у медичних закладах</w:t>
      </w:r>
      <w:r w:rsidRPr="00E36E9C">
        <w:rPr>
          <w:sz w:val="28"/>
          <w:szCs w:val="28"/>
          <w:lang w:val="uk-UA"/>
        </w:rPr>
        <w:t>;</w:t>
      </w:r>
    </w:p>
    <w:p w:rsidR="00F61768" w:rsidRDefault="00FB35A4" w:rsidP="00F6176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61768">
        <w:rPr>
          <w:sz w:val="28"/>
          <w:szCs w:val="28"/>
          <w:lang w:val="uk-UA"/>
        </w:rPr>
        <w:t xml:space="preserve">встановити орендну ставку для розміщення автоматів з реалізації </w:t>
      </w:r>
      <w:proofErr w:type="spellStart"/>
      <w:r w:rsidR="00F61768">
        <w:rPr>
          <w:sz w:val="28"/>
          <w:szCs w:val="28"/>
          <w:lang w:val="uk-UA"/>
        </w:rPr>
        <w:t>бахіл</w:t>
      </w:r>
      <w:proofErr w:type="spellEnd"/>
      <w:r w:rsidR="00F61768">
        <w:rPr>
          <w:sz w:val="28"/>
          <w:szCs w:val="28"/>
          <w:lang w:val="uk-UA"/>
        </w:rPr>
        <w:t xml:space="preserve">, для розміщення </w:t>
      </w:r>
      <w:r w:rsidR="00F61768" w:rsidRPr="00706611">
        <w:rPr>
          <w:sz w:val="28"/>
          <w:szCs w:val="28"/>
          <w:lang w:val="uk-UA"/>
        </w:rPr>
        <w:t>студії з виробництва кіно-, відеофільмів та телевізійних програм, крім тих</w:t>
      </w:r>
      <w:r w:rsidR="00F61768">
        <w:rPr>
          <w:sz w:val="28"/>
          <w:szCs w:val="28"/>
          <w:lang w:val="uk-UA"/>
        </w:rPr>
        <w:t>,</w:t>
      </w:r>
      <w:r w:rsidR="00F61768" w:rsidRPr="00706611">
        <w:rPr>
          <w:sz w:val="28"/>
          <w:szCs w:val="28"/>
          <w:lang w:val="uk-UA"/>
        </w:rPr>
        <w:t xml:space="preserve"> що містять матеріали еротичного характеру</w:t>
      </w:r>
      <w:r w:rsidR="00F61768">
        <w:rPr>
          <w:sz w:val="28"/>
          <w:szCs w:val="28"/>
          <w:lang w:val="uk-UA"/>
        </w:rPr>
        <w:t>,</w:t>
      </w:r>
      <w:r w:rsidR="00F61768" w:rsidRPr="00AB03E1">
        <w:rPr>
          <w:sz w:val="28"/>
          <w:szCs w:val="28"/>
          <w:lang w:val="uk-UA"/>
        </w:rPr>
        <w:t xml:space="preserve"> </w:t>
      </w:r>
      <w:r w:rsidR="00F61768">
        <w:rPr>
          <w:sz w:val="28"/>
          <w:szCs w:val="28"/>
          <w:lang w:val="uk-UA"/>
        </w:rPr>
        <w:t>для розміщення державних організацій (установ, закладів), які фінансуються з державного бюджету, для розміщення державних (установ, закладів), які частково фінансуються з державного та обласного бюджетів, та для розміщення територіальних відділень та структурних підрозділів Головного управління юстиції;</w:t>
      </w:r>
    </w:p>
    <w:p w:rsidR="00F61768" w:rsidRDefault="00F61768" w:rsidP="00F6176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привести положень типового договору оренди нерухомого комунального майна у відповідність до норм чинного законодавства, а саме: включити пункт щодо узгодження в</w:t>
      </w:r>
      <w:r w:rsidRPr="00E36E9C">
        <w:rPr>
          <w:sz w:val="28"/>
          <w:szCs w:val="28"/>
          <w:lang w:val="uk-UA"/>
        </w:rPr>
        <w:t>ідповідності стану Об’єкта оренди протипожежним та санітарним вимогам з відповідними службами міста</w:t>
      </w:r>
      <w:r>
        <w:rPr>
          <w:sz w:val="28"/>
          <w:szCs w:val="28"/>
          <w:lang w:val="uk-UA"/>
        </w:rPr>
        <w:t>.</w:t>
      </w:r>
    </w:p>
    <w:p w:rsidR="00D773AF" w:rsidRPr="00511F3E" w:rsidRDefault="00D773AF" w:rsidP="00F61768">
      <w:pPr>
        <w:pStyle w:val="a5"/>
        <w:tabs>
          <w:tab w:val="left" w:pos="240"/>
        </w:tabs>
        <w:ind w:firstLine="720"/>
        <w:jc w:val="both"/>
        <w:rPr>
          <w:sz w:val="28"/>
          <w:szCs w:val="28"/>
        </w:rPr>
      </w:pPr>
    </w:p>
    <w:p w:rsidR="00D773AF" w:rsidRPr="00511F3E" w:rsidRDefault="00D773AF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4. Строк виконання заходів з відстеження: </w:t>
      </w:r>
    </w:p>
    <w:p w:rsidR="00D773AF" w:rsidRPr="00511F3E" w:rsidRDefault="00D773AF" w:rsidP="00511F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240969">
        <w:rPr>
          <w:sz w:val="28"/>
          <w:szCs w:val="28"/>
          <w:lang w:val="uk-UA"/>
        </w:rPr>
        <w:t xml:space="preserve"> серпня </w:t>
      </w:r>
      <w:r>
        <w:rPr>
          <w:sz w:val="28"/>
          <w:szCs w:val="28"/>
          <w:lang w:val="uk-UA"/>
        </w:rPr>
        <w:t>201</w:t>
      </w:r>
      <w:r w:rsidR="00F61768">
        <w:rPr>
          <w:sz w:val="28"/>
          <w:szCs w:val="28"/>
          <w:lang w:val="uk-UA"/>
        </w:rPr>
        <w:t>9</w:t>
      </w:r>
      <w:r w:rsidR="00240969">
        <w:rPr>
          <w:sz w:val="28"/>
          <w:szCs w:val="28"/>
          <w:lang w:val="uk-UA"/>
        </w:rPr>
        <w:t xml:space="preserve"> року –</w:t>
      </w:r>
      <w:r>
        <w:rPr>
          <w:sz w:val="28"/>
          <w:szCs w:val="28"/>
          <w:lang w:val="uk-UA"/>
        </w:rPr>
        <w:t xml:space="preserve"> 31</w:t>
      </w:r>
      <w:r w:rsidR="00240969">
        <w:rPr>
          <w:sz w:val="28"/>
          <w:szCs w:val="28"/>
          <w:lang w:val="uk-UA"/>
        </w:rPr>
        <w:t xml:space="preserve"> серпня </w:t>
      </w:r>
      <w:r>
        <w:rPr>
          <w:sz w:val="28"/>
          <w:szCs w:val="28"/>
          <w:lang w:val="uk-UA"/>
        </w:rPr>
        <w:t>201</w:t>
      </w:r>
      <w:r w:rsidR="00F61768">
        <w:rPr>
          <w:sz w:val="28"/>
          <w:szCs w:val="28"/>
          <w:lang w:val="uk-UA"/>
        </w:rPr>
        <w:t>9</w:t>
      </w:r>
      <w:r w:rsidR="00240969">
        <w:rPr>
          <w:sz w:val="28"/>
          <w:szCs w:val="28"/>
          <w:lang w:val="uk-UA"/>
        </w:rPr>
        <w:t xml:space="preserve"> року.</w:t>
      </w:r>
    </w:p>
    <w:p w:rsidR="00D773AF" w:rsidRPr="00511F3E" w:rsidRDefault="00D773AF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D773AF" w:rsidRPr="00511F3E" w:rsidRDefault="00D773AF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5.Тип відстеження: </w:t>
      </w:r>
    </w:p>
    <w:p w:rsidR="00D773AF" w:rsidRPr="00511F3E" w:rsidRDefault="00F61768" w:rsidP="00511F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Базове</w:t>
      </w:r>
      <w:r w:rsidR="00D773AF" w:rsidRPr="00511F3E">
        <w:rPr>
          <w:sz w:val="28"/>
          <w:szCs w:val="28"/>
          <w:lang w:val="uk-UA"/>
        </w:rPr>
        <w:t xml:space="preserve"> відстеження</w:t>
      </w:r>
      <w:r w:rsidR="00D773AF">
        <w:rPr>
          <w:sz w:val="28"/>
          <w:szCs w:val="28"/>
          <w:lang w:val="uk-UA"/>
        </w:rPr>
        <w:t>.</w:t>
      </w:r>
    </w:p>
    <w:p w:rsidR="00D773AF" w:rsidRPr="00511F3E" w:rsidRDefault="00D773AF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D773AF" w:rsidRPr="00511F3E" w:rsidRDefault="00D773AF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lastRenderedPageBreak/>
        <w:t xml:space="preserve">6.Метод одержання результатів відстеження: </w:t>
      </w:r>
    </w:p>
    <w:p w:rsidR="00D773AF" w:rsidRDefault="00240969" w:rsidP="00511F3E">
      <w:pPr>
        <w:ind w:firstLine="708"/>
        <w:jc w:val="both"/>
        <w:rPr>
          <w:sz w:val="28"/>
          <w:szCs w:val="28"/>
          <w:lang w:val="uk-UA"/>
        </w:rPr>
      </w:pPr>
      <w:r w:rsidRPr="00240969">
        <w:rPr>
          <w:sz w:val="28"/>
          <w:szCs w:val="28"/>
          <w:lang w:val="uk-UA"/>
        </w:rPr>
        <w:t xml:space="preserve">Для проведення </w:t>
      </w:r>
      <w:r w:rsidR="00D46D9F">
        <w:rPr>
          <w:sz w:val="28"/>
          <w:szCs w:val="28"/>
          <w:lang w:val="uk-UA"/>
        </w:rPr>
        <w:t>базового</w:t>
      </w:r>
      <w:r w:rsidRPr="00240969">
        <w:rPr>
          <w:sz w:val="28"/>
          <w:szCs w:val="28"/>
          <w:lang w:val="uk-UA"/>
        </w:rPr>
        <w:t xml:space="preserve"> відстеження використовува</w:t>
      </w:r>
      <w:r w:rsidR="00FB35A4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>ся</w:t>
      </w:r>
      <w:r w:rsidRPr="002409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="00D773AF" w:rsidRPr="006E4663">
        <w:rPr>
          <w:sz w:val="28"/>
          <w:szCs w:val="28"/>
          <w:lang w:val="uk-UA"/>
        </w:rPr>
        <w:t>татистичний та аналітичний</w:t>
      </w:r>
      <w:r>
        <w:rPr>
          <w:sz w:val="28"/>
          <w:szCs w:val="28"/>
          <w:lang w:val="uk-UA"/>
        </w:rPr>
        <w:t xml:space="preserve"> </w:t>
      </w:r>
      <w:r w:rsidRPr="00240969">
        <w:rPr>
          <w:sz w:val="28"/>
          <w:szCs w:val="28"/>
          <w:lang w:val="uk-UA"/>
        </w:rPr>
        <w:t>методи одержання результатів</w:t>
      </w:r>
      <w:r w:rsidR="00D773AF">
        <w:rPr>
          <w:sz w:val="28"/>
          <w:szCs w:val="28"/>
          <w:lang w:val="uk-UA"/>
        </w:rPr>
        <w:t>.</w:t>
      </w:r>
    </w:p>
    <w:p w:rsidR="00D773AF" w:rsidRPr="00511F3E" w:rsidRDefault="00D773AF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також способи одержання даних: </w:t>
      </w:r>
    </w:p>
    <w:p w:rsidR="00D773AF" w:rsidRDefault="00D773AF" w:rsidP="006E4663">
      <w:pPr>
        <w:pStyle w:val="3"/>
        <w:tabs>
          <w:tab w:val="left" w:pos="540"/>
        </w:tabs>
        <w:ind w:firstLine="720"/>
        <w:rPr>
          <w:szCs w:val="28"/>
        </w:rPr>
      </w:pPr>
      <w:r w:rsidRPr="00625080">
        <w:rPr>
          <w:szCs w:val="28"/>
        </w:rPr>
        <w:t xml:space="preserve">Відстеження результативності </w:t>
      </w:r>
      <w:r>
        <w:rPr>
          <w:szCs w:val="28"/>
        </w:rPr>
        <w:t>регуляторного акту здійснювалося</w:t>
      </w:r>
      <w:r w:rsidRPr="00625080">
        <w:rPr>
          <w:szCs w:val="28"/>
        </w:rPr>
        <w:t xml:space="preserve"> на </w:t>
      </w:r>
      <w:r>
        <w:rPr>
          <w:szCs w:val="28"/>
        </w:rPr>
        <w:t>підставі</w:t>
      </w:r>
      <w:r w:rsidRPr="00625080">
        <w:rPr>
          <w:szCs w:val="28"/>
        </w:rPr>
        <w:t xml:space="preserve"> аналізу </w:t>
      </w:r>
      <w:r>
        <w:rPr>
          <w:szCs w:val="28"/>
        </w:rPr>
        <w:t xml:space="preserve">статистичних </w:t>
      </w:r>
      <w:r w:rsidRPr="00625080">
        <w:rPr>
          <w:szCs w:val="28"/>
        </w:rPr>
        <w:t>даних</w:t>
      </w:r>
      <w:r>
        <w:rPr>
          <w:szCs w:val="28"/>
        </w:rPr>
        <w:t>,</w:t>
      </w:r>
      <w:r w:rsidRPr="00625080">
        <w:rPr>
          <w:szCs w:val="28"/>
        </w:rPr>
        <w:t xml:space="preserve"> </w:t>
      </w:r>
      <w:r>
        <w:rPr>
          <w:szCs w:val="28"/>
        </w:rPr>
        <w:t xml:space="preserve">зібраних </w:t>
      </w:r>
      <w:r>
        <w:rPr>
          <w:bCs/>
          <w:szCs w:val="28"/>
        </w:rPr>
        <w:t>департаментом забезпечення ресурсних платежів</w:t>
      </w:r>
      <w:r>
        <w:rPr>
          <w:szCs w:val="28"/>
        </w:rPr>
        <w:t xml:space="preserve"> Сумської міської ради на основі інформації щодо кількості укладених договорів оренди та внесених змін до діючих договорів, та інформації щодо </w:t>
      </w:r>
      <w:r w:rsidRPr="00625080">
        <w:rPr>
          <w:szCs w:val="28"/>
        </w:rPr>
        <w:t xml:space="preserve">фактичних надходжень </w:t>
      </w:r>
      <w:r>
        <w:rPr>
          <w:szCs w:val="28"/>
        </w:rPr>
        <w:t>від орендної плати за комунальне майно територіальної громади міста Суми до міського бюджету.</w:t>
      </w:r>
    </w:p>
    <w:p w:rsidR="00D773AF" w:rsidRDefault="00D773AF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D773AF" w:rsidRDefault="00D773AF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8. Кількісні та якісні значення показників: </w:t>
      </w:r>
    </w:p>
    <w:p w:rsidR="008E1B42" w:rsidRPr="008E1B42" w:rsidRDefault="008E1B42" w:rsidP="008E1B42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8E1B42">
        <w:rPr>
          <w:sz w:val="28"/>
          <w:szCs w:val="28"/>
          <w:lang w:val="uk-UA"/>
        </w:rPr>
        <w:t xml:space="preserve">Щодо кількісних та якісних показників, то зазначеними показниками є кількість укладених департаментом забезпечення ресурсних платежів Сумської міської ради договорів оренди та </w:t>
      </w:r>
      <w:r>
        <w:rPr>
          <w:sz w:val="28"/>
          <w:szCs w:val="28"/>
          <w:lang w:val="uk-UA"/>
        </w:rPr>
        <w:t xml:space="preserve">надходження коштів до міського бюджету, </w:t>
      </w:r>
      <w:r w:rsidR="000B6D9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наслідок переукладення діючих договорів оренди та укладання нових</w:t>
      </w:r>
      <w:r w:rsidRPr="008E1B42">
        <w:rPr>
          <w:sz w:val="28"/>
          <w:szCs w:val="28"/>
          <w:lang w:val="uk-UA"/>
        </w:rPr>
        <w:t xml:space="preserve">. Так, з початку дії вказаного регуляторного </w:t>
      </w:r>
      <w:proofErr w:type="spellStart"/>
      <w:r w:rsidRPr="008E1B42">
        <w:rPr>
          <w:sz w:val="28"/>
          <w:szCs w:val="28"/>
          <w:lang w:val="uk-UA"/>
        </w:rPr>
        <w:t>акта</w:t>
      </w:r>
      <w:proofErr w:type="spellEnd"/>
      <w:r w:rsidRPr="008E1B42">
        <w:rPr>
          <w:sz w:val="28"/>
          <w:szCs w:val="28"/>
          <w:lang w:val="uk-UA"/>
        </w:rPr>
        <w:t xml:space="preserve"> до </w:t>
      </w:r>
      <w:r w:rsidR="000B6D9A">
        <w:rPr>
          <w:sz w:val="28"/>
          <w:szCs w:val="28"/>
          <w:lang w:val="uk-UA"/>
        </w:rPr>
        <w:t>31 серпня 2019 року</w:t>
      </w:r>
      <w:r w:rsidRPr="008E1B42">
        <w:rPr>
          <w:bCs/>
          <w:sz w:val="28"/>
          <w:szCs w:val="28"/>
          <w:lang w:val="uk-UA"/>
        </w:rPr>
        <w:t xml:space="preserve"> </w:t>
      </w:r>
      <w:r w:rsidRPr="008E1B42">
        <w:rPr>
          <w:sz w:val="28"/>
          <w:szCs w:val="28"/>
          <w:lang w:val="uk-UA"/>
        </w:rPr>
        <w:t xml:space="preserve">укладено </w:t>
      </w:r>
      <w:r w:rsidR="00796CFA">
        <w:rPr>
          <w:sz w:val="28"/>
          <w:szCs w:val="28"/>
          <w:lang w:val="uk-UA"/>
        </w:rPr>
        <w:t>37</w:t>
      </w:r>
      <w:r w:rsidRPr="008E1B42">
        <w:rPr>
          <w:sz w:val="28"/>
          <w:szCs w:val="28"/>
          <w:lang w:val="uk-UA"/>
        </w:rPr>
        <w:t xml:space="preserve"> договор</w:t>
      </w:r>
      <w:r w:rsidR="00796CFA">
        <w:rPr>
          <w:sz w:val="28"/>
          <w:szCs w:val="28"/>
          <w:lang w:val="uk-UA"/>
        </w:rPr>
        <w:t>ів</w:t>
      </w:r>
      <w:r w:rsidRPr="008E1B42">
        <w:rPr>
          <w:sz w:val="28"/>
          <w:szCs w:val="28"/>
          <w:lang w:val="uk-UA"/>
        </w:rPr>
        <w:t xml:space="preserve"> оренди та користування,</w:t>
      </w:r>
      <w:r w:rsidR="00796CFA">
        <w:rPr>
          <w:sz w:val="28"/>
          <w:szCs w:val="28"/>
          <w:lang w:val="uk-UA"/>
        </w:rPr>
        <w:t xml:space="preserve"> також постійно вносяться зміни  до діючих договорів оренди та користування.</w:t>
      </w:r>
      <w:r w:rsidRPr="008E1B42">
        <w:rPr>
          <w:sz w:val="28"/>
          <w:szCs w:val="28"/>
          <w:lang w:val="uk-UA"/>
        </w:rPr>
        <w:t xml:space="preserve"> </w:t>
      </w:r>
      <w:r w:rsidR="00796CFA">
        <w:rPr>
          <w:sz w:val="28"/>
          <w:szCs w:val="28"/>
          <w:lang w:val="uk-UA"/>
        </w:rPr>
        <w:t>Завдяки цьому</w:t>
      </w:r>
      <w:r w:rsidRPr="008E1B42">
        <w:rPr>
          <w:sz w:val="28"/>
          <w:szCs w:val="28"/>
          <w:lang w:val="uk-UA"/>
        </w:rPr>
        <w:t xml:space="preserve"> постійно викону</w:t>
      </w:r>
      <w:r w:rsidR="00796CFA">
        <w:rPr>
          <w:sz w:val="28"/>
          <w:szCs w:val="28"/>
          <w:lang w:val="uk-UA"/>
        </w:rPr>
        <w:t>ються</w:t>
      </w:r>
      <w:r w:rsidRPr="008E1B42">
        <w:rPr>
          <w:sz w:val="28"/>
          <w:szCs w:val="28"/>
          <w:lang w:val="uk-UA"/>
        </w:rPr>
        <w:t xml:space="preserve"> заплановані показники надходження коштів до міського бюджету від оренди комунального майна.</w:t>
      </w:r>
      <w:r w:rsidR="00FB35A4">
        <w:rPr>
          <w:sz w:val="28"/>
          <w:szCs w:val="28"/>
          <w:lang w:val="uk-UA"/>
        </w:rPr>
        <w:t xml:space="preserve"> Так, станом на </w:t>
      </w:r>
      <w:r w:rsidR="00995B99">
        <w:rPr>
          <w:sz w:val="28"/>
          <w:szCs w:val="28"/>
          <w:lang w:val="uk-UA"/>
        </w:rPr>
        <w:t xml:space="preserve">01 вересня 2019 року </w:t>
      </w:r>
      <w:r w:rsidR="00EE1D06">
        <w:rPr>
          <w:sz w:val="28"/>
          <w:szCs w:val="28"/>
          <w:lang w:val="uk-UA"/>
        </w:rPr>
        <w:t>надходження від орендної плати за користування цілісним майновим комплексом та іншим майном, що перебуває в комунальній власності склали 15 811,0</w:t>
      </w:r>
      <w:r w:rsidR="00781147">
        <w:rPr>
          <w:sz w:val="28"/>
          <w:szCs w:val="28"/>
          <w:lang w:val="uk-UA"/>
        </w:rPr>
        <w:t>0</w:t>
      </w:r>
      <w:r w:rsidR="00EE1D06">
        <w:rPr>
          <w:sz w:val="28"/>
          <w:szCs w:val="28"/>
          <w:lang w:val="uk-UA"/>
        </w:rPr>
        <w:t xml:space="preserve"> </w:t>
      </w:r>
      <w:proofErr w:type="spellStart"/>
      <w:r w:rsidR="00781147">
        <w:rPr>
          <w:sz w:val="28"/>
          <w:szCs w:val="28"/>
          <w:lang w:val="uk-UA"/>
        </w:rPr>
        <w:t>тис</w:t>
      </w:r>
      <w:r w:rsidR="00EE1D06">
        <w:rPr>
          <w:sz w:val="28"/>
          <w:szCs w:val="28"/>
          <w:lang w:val="uk-UA"/>
        </w:rPr>
        <w:t>.грн</w:t>
      </w:r>
      <w:proofErr w:type="spellEnd"/>
      <w:r w:rsidR="00EE1D06">
        <w:rPr>
          <w:sz w:val="28"/>
          <w:szCs w:val="28"/>
          <w:lang w:val="uk-UA"/>
        </w:rPr>
        <w:t>.</w:t>
      </w:r>
    </w:p>
    <w:p w:rsidR="008E1B42" w:rsidRPr="008E1B42" w:rsidRDefault="008E1B42" w:rsidP="004B10F4">
      <w:pPr>
        <w:ind w:firstLine="708"/>
        <w:jc w:val="both"/>
        <w:rPr>
          <w:sz w:val="28"/>
        </w:rPr>
      </w:pPr>
    </w:p>
    <w:p w:rsidR="00D773AF" w:rsidRDefault="00D773AF" w:rsidP="0009440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9. Оцінка результатів реалізації регуляторного </w:t>
      </w:r>
      <w:proofErr w:type="spellStart"/>
      <w:r w:rsidRPr="00511F3E">
        <w:rPr>
          <w:b/>
          <w:bCs/>
          <w:sz w:val="28"/>
          <w:szCs w:val="28"/>
          <w:lang w:val="uk-UA"/>
        </w:rPr>
        <w:t>акта</w:t>
      </w:r>
      <w:proofErr w:type="spellEnd"/>
      <w:r w:rsidRPr="00511F3E">
        <w:rPr>
          <w:b/>
          <w:bCs/>
          <w:sz w:val="28"/>
          <w:szCs w:val="28"/>
          <w:lang w:val="uk-UA"/>
        </w:rPr>
        <w:t xml:space="preserve"> та ступеня досягнення визначених цілей: </w:t>
      </w:r>
    </w:p>
    <w:p w:rsidR="00FB35A4" w:rsidRPr="00FB35A4" w:rsidRDefault="00FB35A4" w:rsidP="0009440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FB35A4">
        <w:rPr>
          <w:sz w:val="28"/>
          <w:szCs w:val="28"/>
          <w:lang w:val="uk-UA"/>
        </w:rPr>
        <w:t xml:space="preserve">Прийняття </w:t>
      </w:r>
      <w:r w:rsidRPr="00FB35A4">
        <w:rPr>
          <w:rStyle w:val="a4"/>
          <w:b w:val="0"/>
          <w:sz w:val="28"/>
          <w:szCs w:val="28"/>
          <w:lang w:val="uk-UA"/>
        </w:rPr>
        <w:t>рішення Сумської міської ради від 06 лютого 2019 року</w:t>
      </w:r>
      <w:r>
        <w:rPr>
          <w:rStyle w:val="a4"/>
          <w:b w:val="0"/>
          <w:sz w:val="28"/>
          <w:szCs w:val="28"/>
          <w:lang w:val="uk-UA"/>
        </w:rPr>
        <w:t xml:space="preserve">                             </w:t>
      </w:r>
      <w:r w:rsidRPr="00FB35A4">
        <w:rPr>
          <w:rStyle w:val="a4"/>
          <w:b w:val="0"/>
          <w:sz w:val="28"/>
          <w:szCs w:val="28"/>
          <w:lang w:val="uk-UA"/>
        </w:rPr>
        <w:t xml:space="preserve"> № 4507-МР «Про внесення змін до рішення Сумської міської ради від 01 лютого 2012 року № 1186-МР «Про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майна» (зі змінами)»</w:t>
      </w:r>
      <w:r>
        <w:rPr>
          <w:rStyle w:val="a4"/>
          <w:b w:val="0"/>
          <w:sz w:val="28"/>
          <w:szCs w:val="28"/>
          <w:lang w:val="uk-UA"/>
        </w:rPr>
        <w:t xml:space="preserve"> </w:t>
      </w:r>
      <w:r w:rsidRPr="00FB35A4">
        <w:rPr>
          <w:sz w:val="28"/>
          <w:szCs w:val="28"/>
          <w:lang w:val="uk-UA"/>
        </w:rPr>
        <w:t xml:space="preserve">дало </w:t>
      </w:r>
      <w:r>
        <w:rPr>
          <w:sz w:val="28"/>
          <w:szCs w:val="28"/>
          <w:lang w:val="uk-UA"/>
        </w:rPr>
        <w:t>змогу:</w:t>
      </w:r>
    </w:p>
    <w:p w:rsidR="00796CFA" w:rsidRDefault="00D773AF" w:rsidP="00FB35A4">
      <w:pPr>
        <w:pStyle w:val="3"/>
        <w:ind w:firstLine="720"/>
        <w:rPr>
          <w:szCs w:val="28"/>
        </w:rPr>
      </w:pPr>
      <w:r>
        <w:rPr>
          <w:szCs w:val="28"/>
        </w:rPr>
        <w:t xml:space="preserve">- </w:t>
      </w:r>
      <w:r w:rsidR="00FB35A4">
        <w:rPr>
          <w:szCs w:val="28"/>
        </w:rPr>
        <w:t>збільшити</w:t>
      </w:r>
      <w:r w:rsidR="00796CFA">
        <w:rPr>
          <w:szCs w:val="28"/>
        </w:rPr>
        <w:t xml:space="preserve"> розмір місячної орендної плати для розміщення антен стільникового зв’язку, </w:t>
      </w:r>
      <w:r w:rsidR="00796CFA">
        <w:rPr>
          <w:szCs w:val="28"/>
          <w:lang w:val="en-US"/>
        </w:rPr>
        <w:t>CDMA</w:t>
      </w:r>
      <w:r w:rsidR="00796CFA" w:rsidRPr="00742454">
        <w:rPr>
          <w:szCs w:val="28"/>
        </w:rPr>
        <w:t xml:space="preserve"> </w:t>
      </w:r>
      <w:r w:rsidR="00796CFA">
        <w:rPr>
          <w:szCs w:val="28"/>
        </w:rPr>
        <w:t>зв’язку, мобільного зв’язку</w:t>
      </w:r>
      <w:r w:rsidR="00FB35A4">
        <w:rPr>
          <w:szCs w:val="28"/>
        </w:rPr>
        <w:t xml:space="preserve"> та</w:t>
      </w:r>
      <w:r w:rsidR="00796CFA">
        <w:rPr>
          <w:szCs w:val="28"/>
        </w:rPr>
        <w:t xml:space="preserve"> збільш</w:t>
      </w:r>
      <w:r w:rsidR="00FB35A4">
        <w:rPr>
          <w:szCs w:val="28"/>
        </w:rPr>
        <w:t>ити</w:t>
      </w:r>
      <w:r w:rsidR="00796CFA">
        <w:rPr>
          <w:szCs w:val="28"/>
        </w:rPr>
        <w:t xml:space="preserve"> орендн</w:t>
      </w:r>
      <w:r w:rsidR="00FB35A4">
        <w:rPr>
          <w:szCs w:val="28"/>
        </w:rPr>
        <w:t>і</w:t>
      </w:r>
      <w:r w:rsidR="00796CFA">
        <w:rPr>
          <w:szCs w:val="28"/>
        </w:rPr>
        <w:t xml:space="preserve"> ставк</w:t>
      </w:r>
      <w:r w:rsidR="00FB35A4">
        <w:rPr>
          <w:szCs w:val="28"/>
        </w:rPr>
        <w:t>и</w:t>
      </w:r>
      <w:r w:rsidR="00796CFA">
        <w:rPr>
          <w:szCs w:val="28"/>
        </w:rPr>
        <w:t xml:space="preserve"> для розміщення суб’єктів господарювання, що діють на основі приватної власності і провадять господарську діяльність з медичної практики у медичних закладах</w:t>
      </w:r>
      <w:r w:rsidR="00FB35A4">
        <w:rPr>
          <w:szCs w:val="28"/>
        </w:rPr>
        <w:t xml:space="preserve">; </w:t>
      </w:r>
      <w:r w:rsidR="00796CFA">
        <w:rPr>
          <w:szCs w:val="28"/>
        </w:rPr>
        <w:t>для розміщення суб’єктів господарювання, що надають послуги по управлінню, утриманню будинків, споруд та прибудинкових територій житлового фонду та для розміщення диспетчерів суб’єктів господарювання, які надають послуги з диспетчеризації ліфтового господарства;</w:t>
      </w:r>
    </w:p>
    <w:p w:rsidR="00796CFA" w:rsidRDefault="00796CFA" w:rsidP="00926966">
      <w:pPr>
        <w:pStyle w:val="3"/>
        <w:ind w:firstLine="720"/>
        <w:rPr>
          <w:szCs w:val="28"/>
        </w:rPr>
      </w:pPr>
      <w:r>
        <w:rPr>
          <w:szCs w:val="28"/>
        </w:rPr>
        <w:t>- встанов</w:t>
      </w:r>
      <w:r w:rsidR="00FB35A4">
        <w:rPr>
          <w:szCs w:val="28"/>
        </w:rPr>
        <w:t>ити</w:t>
      </w:r>
      <w:r>
        <w:rPr>
          <w:szCs w:val="28"/>
        </w:rPr>
        <w:t xml:space="preserve"> орендн</w:t>
      </w:r>
      <w:r w:rsidR="00FB35A4">
        <w:rPr>
          <w:szCs w:val="28"/>
        </w:rPr>
        <w:t>і</w:t>
      </w:r>
      <w:r>
        <w:rPr>
          <w:szCs w:val="28"/>
        </w:rPr>
        <w:t xml:space="preserve"> став</w:t>
      </w:r>
      <w:r w:rsidR="00FB35A4">
        <w:rPr>
          <w:szCs w:val="28"/>
        </w:rPr>
        <w:t>ки</w:t>
      </w:r>
      <w:r>
        <w:rPr>
          <w:szCs w:val="28"/>
        </w:rPr>
        <w:t xml:space="preserve"> для розміщення автоматів з реалізації </w:t>
      </w:r>
      <w:proofErr w:type="spellStart"/>
      <w:r>
        <w:rPr>
          <w:szCs w:val="28"/>
        </w:rPr>
        <w:t>бахіл</w:t>
      </w:r>
      <w:proofErr w:type="spellEnd"/>
      <w:r>
        <w:rPr>
          <w:szCs w:val="28"/>
        </w:rPr>
        <w:t xml:space="preserve">, для розміщення </w:t>
      </w:r>
      <w:r w:rsidRPr="00706611">
        <w:rPr>
          <w:szCs w:val="28"/>
        </w:rPr>
        <w:t>студії з виробництва кіно-, відеофільмів та телевізійних програм, крім тих</w:t>
      </w:r>
      <w:r>
        <w:rPr>
          <w:szCs w:val="28"/>
        </w:rPr>
        <w:t>,</w:t>
      </w:r>
      <w:r w:rsidRPr="00706611">
        <w:rPr>
          <w:szCs w:val="28"/>
        </w:rPr>
        <w:t xml:space="preserve"> що містять матеріали еротичного характеру</w:t>
      </w:r>
      <w:r>
        <w:rPr>
          <w:szCs w:val="28"/>
        </w:rPr>
        <w:t>,</w:t>
      </w:r>
      <w:r w:rsidRPr="00AB03E1">
        <w:rPr>
          <w:szCs w:val="28"/>
        </w:rPr>
        <w:t xml:space="preserve"> </w:t>
      </w:r>
      <w:r>
        <w:rPr>
          <w:szCs w:val="28"/>
        </w:rPr>
        <w:t xml:space="preserve">для розміщення державних організацій (установ, закладів), які фінансуються з державного </w:t>
      </w:r>
      <w:r>
        <w:rPr>
          <w:szCs w:val="28"/>
        </w:rPr>
        <w:lastRenderedPageBreak/>
        <w:t>бюджету, для розміщення державних (установ, закладів), які частково фінансуються з державного та обласного бюджетів, та для розміщення територіальних відділень та структурних підрозділів Головного управління юстиції;</w:t>
      </w:r>
    </w:p>
    <w:p w:rsidR="00796CFA" w:rsidRDefault="00796CFA" w:rsidP="00926966">
      <w:pPr>
        <w:pStyle w:val="3"/>
        <w:ind w:firstLine="720"/>
        <w:rPr>
          <w:bCs/>
          <w:szCs w:val="28"/>
        </w:rPr>
      </w:pPr>
      <w:r>
        <w:rPr>
          <w:szCs w:val="28"/>
        </w:rPr>
        <w:t>- приведення положень типового договору оренди нерухомого комунального майна у відповідність до норм чинного законодавства, а саме: включення пункту щодо узгодження в</w:t>
      </w:r>
      <w:r w:rsidRPr="00E36E9C">
        <w:rPr>
          <w:szCs w:val="28"/>
        </w:rPr>
        <w:t>ідповідності стану Об’єкта оренди протипожежним та санітарним вимогам з відповідними службами міста</w:t>
      </w:r>
      <w:r>
        <w:rPr>
          <w:szCs w:val="28"/>
        </w:rPr>
        <w:t>.</w:t>
      </w:r>
    </w:p>
    <w:p w:rsidR="00D773AF" w:rsidRPr="00511F3E" w:rsidRDefault="00D773AF" w:rsidP="00995B99">
      <w:pPr>
        <w:pStyle w:val="3"/>
        <w:ind w:firstLine="720"/>
        <w:rPr>
          <w:szCs w:val="28"/>
        </w:rPr>
      </w:pPr>
      <w:r>
        <w:rPr>
          <w:rStyle w:val="a4"/>
          <w:b w:val="0"/>
        </w:rPr>
        <w:t xml:space="preserve"> </w:t>
      </w:r>
    </w:p>
    <w:p w:rsidR="00D773AF" w:rsidRDefault="00D773AF" w:rsidP="00511F3E">
      <w:pPr>
        <w:jc w:val="both"/>
        <w:rPr>
          <w:sz w:val="28"/>
          <w:szCs w:val="28"/>
          <w:lang w:val="uk-UA"/>
        </w:rPr>
      </w:pPr>
    </w:p>
    <w:p w:rsidR="00D773AF" w:rsidRPr="00511F3E" w:rsidRDefault="00D773AF" w:rsidP="00511F3E">
      <w:pPr>
        <w:jc w:val="both"/>
        <w:rPr>
          <w:sz w:val="28"/>
          <w:szCs w:val="28"/>
          <w:lang w:val="uk-UA"/>
        </w:rPr>
      </w:pPr>
    </w:p>
    <w:p w:rsidR="00D773AF" w:rsidRPr="00511F3E" w:rsidRDefault="00D773AF" w:rsidP="00511F3E">
      <w:pPr>
        <w:jc w:val="both"/>
        <w:rPr>
          <w:sz w:val="28"/>
          <w:szCs w:val="28"/>
          <w:lang w:val="uk-UA"/>
        </w:rPr>
      </w:pPr>
    </w:p>
    <w:p w:rsidR="00D773AF" w:rsidRPr="00414687" w:rsidRDefault="00D773AF" w:rsidP="00511F3E">
      <w:pPr>
        <w:jc w:val="both"/>
        <w:rPr>
          <w:b/>
          <w:sz w:val="28"/>
          <w:szCs w:val="28"/>
          <w:lang w:val="uk-UA"/>
        </w:rPr>
      </w:pPr>
      <w:r w:rsidRPr="00414687">
        <w:rPr>
          <w:b/>
          <w:sz w:val="28"/>
          <w:szCs w:val="28"/>
          <w:lang w:val="uk-UA"/>
        </w:rPr>
        <w:t>Сумський міський голова</w:t>
      </w:r>
      <w:r w:rsidRPr="00414687">
        <w:rPr>
          <w:b/>
          <w:sz w:val="28"/>
          <w:szCs w:val="28"/>
          <w:lang w:val="uk-UA"/>
        </w:rPr>
        <w:tab/>
      </w:r>
      <w:r w:rsidRPr="00414687">
        <w:rPr>
          <w:b/>
          <w:sz w:val="28"/>
          <w:szCs w:val="28"/>
          <w:lang w:val="uk-UA"/>
        </w:rPr>
        <w:tab/>
      </w:r>
      <w:r w:rsidRPr="00414687">
        <w:rPr>
          <w:b/>
          <w:sz w:val="28"/>
          <w:szCs w:val="28"/>
          <w:lang w:val="uk-UA"/>
        </w:rPr>
        <w:tab/>
      </w:r>
      <w:r w:rsidRPr="00414687">
        <w:rPr>
          <w:b/>
          <w:sz w:val="28"/>
          <w:szCs w:val="28"/>
          <w:lang w:val="uk-UA"/>
        </w:rPr>
        <w:tab/>
      </w:r>
      <w:r w:rsidRPr="00414687">
        <w:rPr>
          <w:b/>
          <w:sz w:val="28"/>
          <w:szCs w:val="28"/>
          <w:lang w:val="uk-UA"/>
        </w:rPr>
        <w:tab/>
      </w:r>
      <w:r w:rsidRPr="00414687">
        <w:rPr>
          <w:b/>
          <w:sz w:val="28"/>
          <w:szCs w:val="28"/>
          <w:lang w:val="uk-UA"/>
        </w:rPr>
        <w:tab/>
        <w:t xml:space="preserve">      О.М. Лисенко</w:t>
      </w:r>
    </w:p>
    <w:p w:rsidR="00D773AF" w:rsidRDefault="00D773AF" w:rsidP="00511F3E">
      <w:pPr>
        <w:jc w:val="both"/>
        <w:rPr>
          <w:lang w:val="uk-UA"/>
        </w:rPr>
      </w:pPr>
    </w:p>
    <w:p w:rsidR="00D773AF" w:rsidRPr="00995B99" w:rsidRDefault="00D773AF" w:rsidP="00414687">
      <w:pPr>
        <w:spacing w:line="360" w:lineRule="auto"/>
        <w:jc w:val="both"/>
        <w:rPr>
          <w:lang w:val="uk-UA"/>
        </w:rPr>
      </w:pPr>
      <w:r w:rsidRPr="00995B99">
        <w:rPr>
          <w:lang w:val="uk-UA"/>
        </w:rPr>
        <w:t xml:space="preserve">Клименко Ю.М. </w:t>
      </w:r>
    </w:p>
    <w:sectPr w:rsidR="00D773AF" w:rsidRPr="00995B99" w:rsidSect="00D46D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2F6A"/>
    <w:multiLevelType w:val="hybridMultilevel"/>
    <w:tmpl w:val="B2A275C2"/>
    <w:lvl w:ilvl="0" w:tplc="1BA035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4074F"/>
    <w:multiLevelType w:val="hybridMultilevel"/>
    <w:tmpl w:val="0BCC146E"/>
    <w:lvl w:ilvl="0" w:tplc="75DE4E10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3F"/>
    <w:rsid w:val="00083E16"/>
    <w:rsid w:val="0009440E"/>
    <w:rsid w:val="00095B65"/>
    <w:rsid w:val="000B6D9A"/>
    <w:rsid w:val="000C0DB8"/>
    <w:rsid w:val="00112353"/>
    <w:rsid w:val="00152F4C"/>
    <w:rsid w:val="001A401B"/>
    <w:rsid w:val="001E1C1E"/>
    <w:rsid w:val="00213891"/>
    <w:rsid w:val="002264B8"/>
    <w:rsid w:val="00226CB6"/>
    <w:rsid w:val="00240969"/>
    <w:rsid w:val="00260040"/>
    <w:rsid w:val="00290AE8"/>
    <w:rsid w:val="002B3683"/>
    <w:rsid w:val="002D66DA"/>
    <w:rsid w:val="00306A95"/>
    <w:rsid w:val="003451FB"/>
    <w:rsid w:val="003B0257"/>
    <w:rsid w:val="004074A4"/>
    <w:rsid w:val="00414687"/>
    <w:rsid w:val="00424ACC"/>
    <w:rsid w:val="00437AB0"/>
    <w:rsid w:val="00437AD2"/>
    <w:rsid w:val="00441DC6"/>
    <w:rsid w:val="004452C9"/>
    <w:rsid w:val="004500A0"/>
    <w:rsid w:val="00453565"/>
    <w:rsid w:val="0046602C"/>
    <w:rsid w:val="00475C68"/>
    <w:rsid w:val="0048149C"/>
    <w:rsid w:val="004B10F4"/>
    <w:rsid w:val="004C31EF"/>
    <w:rsid w:val="00511F3E"/>
    <w:rsid w:val="005216FE"/>
    <w:rsid w:val="00562134"/>
    <w:rsid w:val="005B5847"/>
    <w:rsid w:val="005B796F"/>
    <w:rsid w:val="006229B8"/>
    <w:rsid w:val="00625080"/>
    <w:rsid w:val="00640A57"/>
    <w:rsid w:val="006561E9"/>
    <w:rsid w:val="00665034"/>
    <w:rsid w:val="006938AD"/>
    <w:rsid w:val="006A6A90"/>
    <w:rsid w:val="006D13AA"/>
    <w:rsid w:val="006E10FC"/>
    <w:rsid w:val="006E4663"/>
    <w:rsid w:val="006F04F1"/>
    <w:rsid w:val="00703125"/>
    <w:rsid w:val="00720A26"/>
    <w:rsid w:val="007352F8"/>
    <w:rsid w:val="00740E22"/>
    <w:rsid w:val="00752077"/>
    <w:rsid w:val="00781147"/>
    <w:rsid w:val="007935FC"/>
    <w:rsid w:val="00796CFA"/>
    <w:rsid w:val="007B0BFC"/>
    <w:rsid w:val="00821B4D"/>
    <w:rsid w:val="0089518A"/>
    <w:rsid w:val="008A02C1"/>
    <w:rsid w:val="008A3317"/>
    <w:rsid w:val="008A719E"/>
    <w:rsid w:val="008B069B"/>
    <w:rsid w:val="008E1B42"/>
    <w:rsid w:val="008F0595"/>
    <w:rsid w:val="00926966"/>
    <w:rsid w:val="0099032B"/>
    <w:rsid w:val="00995B99"/>
    <w:rsid w:val="009C3934"/>
    <w:rsid w:val="009D65C0"/>
    <w:rsid w:val="009D70C8"/>
    <w:rsid w:val="009F5528"/>
    <w:rsid w:val="00A0075F"/>
    <w:rsid w:val="00AD4BE9"/>
    <w:rsid w:val="00AF65B2"/>
    <w:rsid w:val="00B5073A"/>
    <w:rsid w:val="00B66E6A"/>
    <w:rsid w:val="00B759B7"/>
    <w:rsid w:val="00BA3C9C"/>
    <w:rsid w:val="00BB405B"/>
    <w:rsid w:val="00BC0E7E"/>
    <w:rsid w:val="00BC6087"/>
    <w:rsid w:val="00BC7834"/>
    <w:rsid w:val="00C13118"/>
    <w:rsid w:val="00C6169F"/>
    <w:rsid w:val="00CA2A97"/>
    <w:rsid w:val="00CB76D3"/>
    <w:rsid w:val="00CC7B50"/>
    <w:rsid w:val="00CD60C5"/>
    <w:rsid w:val="00D0476E"/>
    <w:rsid w:val="00D46D9F"/>
    <w:rsid w:val="00D5744E"/>
    <w:rsid w:val="00D773AF"/>
    <w:rsid w:val="00E11450"/>
    <w:rsid w:val="00E256EC"/>
    <w:rsid w:val="00E719CD"/>
    <w:rsid w:val="00E7303F"/>
    <w:rsid w:val="00EB500C"/>
    <w:rsid w:val="00EE1D06"/>
    <w:rsid w:val="00F05DDB"/>
    <w:rsid w:val="00F1635C"/>
    <w:rsid w:val="00F3290F"/>
    <w:rsid w:val="00F33F4A"/>
    <w:rsid w:val="00F363E5"/>
    <w:rsid w:val="00F56855"/>
    <w:rsid w:val="00F60381"/>
    <w:rsid w:val="00F61768"/>
    <w:rsid w:val="00F87D46"/>
    <w:rsid w:val="00FB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1EB9A"/>
  <w15:docId w15:val="{04256DB9-B068-4502-B871-44B042E1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F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500C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500C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EB500C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EB500C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styleId="a4">
    <w:name w:val="Strong"/>
    <w:basedOn w:val="a0"/>
    <w:uiPriority w:val="99"/>
    <w:qFormat/>
    <w:rsid w:val="00EB500C"/>
    <w:rPr>
      <w:rFonts w:cs="Times New Roman"/>
      <w:b/>
      <w:bCs/>
    </w:rPr>
  </w:style>
  <w:style w:type="paragraph" w:styleId="3">
    <w:name w:val="Body Text 3"/>
    <w:basedOn w:val="a"/>
    <w:link w:val="30"/>
    <w:uiPriority w:val="99"/>
    <w:rsid w:val="006E4663"/>
    <w:pPr>
      <w:jc w:val="both"/>
    </w:pPr>
    <w:rPr>
      <w:rFonts w:eastAsia="Calibri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6169F"/>
    <w:rPr>
      <w:rFonts w:ascii="Times New Roman" w:hAnsi="Times New Roman" w:cs="Times New Roman"/>
      <w:sz w:val="16"/>
      <w:szCs w:val="16"/>
    </w:rPr>
  </w:style>
  <w:style w:type="paragraph" w:styleId="a5">
    <w:name w:val="No Spacing"/>
    <w:uiPriority w:val="99"/>
    <w:qFormat/>
    <w:rsid w:val="006E4663"/>
    <w:rPr>
      <w:rFonts w:cs="Calibri"/>
      <w:lang w:val="uk-UA" w:eastAsia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6E466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B66E6A"/>
    <w:rPr>
      <w:rFonts w:ascii="Verdana" w:eastAsia="Calibri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95B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5B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5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>Curnos™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subject/>
  <dc:creator>RADA</dc:creator>
  <cp:keywords/>
  <dc:description/>
  <cp:lastModifiedBy>Сіренко Інна Вікторівна</cp:lastModifiedBy>
  <cp:revision>8</cp:revision>
  <cp:lastPrinted>2019-09-05T08:40:00Z</cp:lastPrinted>
  <dcterms:created xsi:type="dcterms:W3CDTF">2019-09-05T07:31:00Z</dcterms:created>
  <dcterms:modified xsi:type="dcterms:W3CDTF">2019-09-26T10:37:00Z</dcterms:modified>
</cp:coreProperties>
</file>