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3B" w:rsidRDefault="007F163B" w:rsidP="00455BE8">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0854E9" w:rsidRPr="000854E9" w:rsidRDefault="000854E9" w:rsidP="00455BE8">
      <w:pPr>
        <w:spacing w:after="0" w:line="240" w:lineRule="auto"/>
        <w:jc w:val="center"/>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ЗВІТ</w:t>
      </w:r>
    </w:p>
    <w:p w:rsidR="000854E9" w:rsidRPr="000854E9" w:rsidRDefault="000854E9" w:rsidP="000854E9">
      <w:pPr>
        <w:spacing w:after="0" w:line="240" w:lineRule="auto"/>
        <w:ind w:firstLine="709"/>
        <w:jc w:val="center"/>
        <w:rPr>
          <w:rFonts w:ascii="Times New Roman CYR" w:eastAsia="Times New Roman" w:hAnsi="Times New Roman CYR" w:cs="Times New Roman"/>
          <w:b/>
          <w:sz w:val="28"/>
          <w:szCs w:val="28"/>
          <w:lang w:eastAsia="ru-RU"/>
        </w:rPr>
      </w:pPr>
      <w:r w:rsidRPr="000854E9">
        <w:rPr>
          <w:rFonts w:ascii="Times New Roman" w:eastAsia="Times New Roman" w:hAnsi="Times New Roman" w:cs="Times New Roman"/>
          <w:b/>
          <w:bCs/>
          <w:sz w:val="28"/>
          <w:szCs w:val="28"/>
          <w:lang w:eastAsia="ru-RU"/>
        </w:rPr>
        <w:t xml:space="preserve">про </w:t>
      </w:r>
      <w:r>
        <w:rPr>
          <w:rFonts w:ascii="Times New Roman" w:eastAsia="Times New Roman" w:hAnsi="Times New Roman" w:cs="Times New Roman"/>
          <w:b/>
          <w:bCs/>
          <w:sz w:val="28"/>
          <w:szCs w:val="28"/>
          <w:lang w:eastAsia="ru-RU"/>
        </w:rPr>
        <w:t>базове</w:t>
      </w:r>
      <w:r w:rsidRPr="000854E9">
        <w:rPr>
          <w:rFonts w:ascii="Times New Roman" w:eastAsia="Times New Roman" w:hAnsi="Times New Roman" w:cs="Times New Roman"/>
          <w:b/>
          <w:bCs/>
          <w:sz w:val="28"/>
          <w:szCs w:val="28"/>
          <w:lang w:eastAsia="ru-RU"/>
        </w:rPr>
        <w:t xml:space="preserve"> відстеження результативності рішення Сумської міської </w:t>
      </w:r>
      <w:r>
        <w:rPr>
          <w:rFonts w:ascii="Times New Roman" w:eastAsia="Times New Roman" w:hAnsi="Times New Roman" w:cs="Times New Roman"/>
          <w:b/>
          <w:bCs/>
          <w:sz w:val="28"/>
          <w:szCs w:val="28"/>
          <w:lang w:eastAsia="ru-RU"/>
        </w:rPr>
        <w:t xml:space="preserve">ради </w:t>
      </w:r>
      <w:r w:rsidRPr="000854E9">
        <w:rPr>
          <w:rFonts w:ascii="Times New Roman" w:eastAsia="Times New Roman" w:hAnsi="Times New Roman" w:cs="Times New Roman"/>
          <w:b/>
          <w:bCs/>
          <w:sz w:val="28"/>
          <w:szCs w:val="28"/>
          <w:lang w:eastAsia="ru-RU"/>
        </w:rPr>
        <w:t>від 31 травня 2017 року № 2147-МР</w:t>
      </w:r>
      <w:r>
        <w:rPr>
          <w:rFonts w:ascii="Times New Roman" w:eastAsia="Times New Roman" w:hAnsi="Times New Roman" w:cs="Times New Roman"/>
          <w:b/>
          <w:bCs/>
          <w:sz w:val="28"/>
          <w:szCs w:val="28"/>
          <w:lang w:eastAsia="ru-RU"/>
        </w:rPr>
        <w:t xml:space="preserve"> «</w:t>
      </w:r>
      <w:r w:rsidRPr="000854E9">
        <w:rPr>
          <w:rFonts w:ascii="Times New Roman" w:eastAsia="Times New Roman" w:hAnsi="Times New Roman" w:cs="Times New Roman"/>
          <w:b/>
          <w:bCs/>
          <w:sz w:val="28"/>
          <w:szCs w:val="28"/>
          <w:lang w:eastAsia="ru-RU"/>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Pr>
          <w:rFonts w:ascii="Times New Roman" w:eastAsia="Times New Roman" w:hAnsi="Times New Roman" w:cs="Times New Roman"/>
          <w:b/>
          <w:bCs/>
          <w:sz w:val="28"/>
          <w:szCs w:val="28"/>
          <w:lang w:eastAsia="ru-RU"/>
        </w:rPr>
        <w:t>»</w:t>
      </w: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1. Вид та назва регуляторного акта, результативність якого відстежується, дата його прийняття та номер</w:t>
      </w:r>
    </w:p>
    <w:p w:rsidR="000854E9" w:rsidRPr="000854E9" w:rsidRDefault="000854E9" w:rsidP="000854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854E9">
        <w:rPr>
          <w:rFonts w:ascii="Times New Roman" w:eastAsia="Times New Roman" w:hAnsi="Times New Roman" w:cs="Times New Roman"/>
          <w:sz w:val="28"/>
          <w:szCs w:val="28"/>
          <w:lang w:eastAsia="ru-RU"/>
        </w:rPr>
        <w:t>ішення Сумської міської ради від 31 травня 2017 року № 2147-МР «Про Положення про особливості справл</w:t>
      </w:r>
      <w:r>
        <w:rPr>
          <w:rFonts w:ascii="Times New Roman" w:eastAsia="Times New Roman" w:hAnsi="Times New Roman" w:cs="Times New Roman"/>
          <w:sz w:val="28"/>
          <w:szCs w:val="28"/>
          <w:lang w:eastAsia="ru-RU"/>
        </w:rPr>
        <w:t>яння єдиного податку суб’єктами г</w:t>
      </w:r>
      <w:r w:rsidRPr="000854E9">
        <w:rPr>
          <w:rFonts w:ascii="Times New Roman" w:eastAsia="Times New Roman" w:hAnsi="Times New Roman" w:cs="Times New Roman"/>
          <w:sz w:val="28"/>
          <w:szCs w:val="28"/>
          <w:lang w:eastAsia="ru-RU"/>
        </w:rPr>
        <w:t>осподарювання, які застосовують спрощену систему оподаткування, обліку та звітності</w:t>
      </w:r>
      <w:r>
        <w:rPr>
          <w:rFonts w:ascii="Times New Roman" w:eastAsia="Times New Roman" w:hAnsi="Times New Roman" w:cs="Times New Roman"/>
          <w:sz w:val="28"/>
          <w:szCs w:val="28"/>
          <w:lang w:eastAsia="ru-RU"/>
        </w:rPr>
        <w:t>»</w:t>
      </w:r>
      <w:r w:rsidR="007D2056">
        <w:rPr>
          <w:rFonts w:ascii="Times New Roman" w:eastAsia="Times New Roman" w:hAnsi="Times New Roman" w:cs="Times New Roman"/>
          <w:sz w:val="28"/>
          <w:szCs w:val="28"/>
          <w:lang w:eastAsia="ru-RU"/>
        </w:rPr>
        <w:t xml:space="preserve"> (далі – Положення)</w:t>
      </w:r>
      <w:r>
        <w:rPr>
          <w:rFonts w:ascii="Times New Roman" w:eastAsia="Times New Roman" w:hAnsi="Times New Roman" w:cs="Times New Roman"/>
          <w:sz w:val="28"/>
          <w:szCs w:val="28"/>
          <w:lang w:eastAsia="ru-RU"/>
        </w:rPr>
        <w:t>.</w:t>
      </w:r>
    </w:p>
    <w:p w:rsidR="000854E9" w:rsidRPr="000854E9" w:rsidRDefault="000854E9" w:rsidP="000854E9">
      <w:pPr>
        <w:spacing w:after="0" w:line="240" w:lineRule="auto"/>
        <w:rPr>
          <w:rFonts w:ascii="Times New Roman" w:eastAsia="Times New Roman" w:hAnsi="Times New Roman" w:cs="Times New Roman"/>
          <w:b/>
          <w:bCs/>
          <w:i/>
          <w:sz w:val="28"/>
          <w:szCs w:val="28"/>
          <w:lang w:eastAsia="ru-RU"/>
        </w:rPr>
      </w:pP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2. Назва виконавця заходів відстеження</w:t>
      </w:r>
    </w:p>
    <w:p w:rsidR="000854E9" w:rsidRPr="000854E9" w:rsidRDefault="00D50D69" w:rsidP="000854E9">
      <w:pPr>
        <w:spacing w:after="0" w:line="240" w:lineRule="auto"/>
        <w:ind w:firstLine="54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854E9" w:rsidRPr="000854E9">
        <w:rPr>
          <w:rFonts w:ascii="Times New Roman" w:eastAsia="Times New Roman" w:hAnsi="Times New Roman" w:cs="Times New Roman"/>
          <w:sz w:val="28"/>
          <w:szCs w:val="28"/>
          <w:lang w:eastAsia="ru-RU"/>
        </w:rPr>
        <w:t>епартамент забезпечення  ресурсних платежів Сумської міської ради.</w:t>
      </w:r>
    </w:p>
    <w:p w:rsidR="000854E9" w:rsidRPr="000854E9" w:rsidRDefault="000854E9" w:rsidP="000854E9">
      <w:pPr>
        <w:spacing w:after="0" w:line="240" w:lineRule="auto"/>
        <w:rPr>
          <w:rFonts w:ascii="Times New Roman" w:eastAsia="Times New Roman" w:hAnsi="Times New Roman" w:cs="Times New Roman"/>
          <w:b/>
          <w:bCs/>
          <w:i/>
          <w:sz w:val="28"/>
          <w:szCs w:val="28"/>
          <w:lang w:eastAsia="ru-RU"/>
        </w:rPr>
      </w:pP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3. Цілі прийняття акта</w:t>
      </w:r>
    </w:p>
    <w:p w:rsidR="000854E9" w:rsidRPr="000854E9" w:rsidRDefault="000854E9" w:rsidP="000854E9">
      <w:pPr>
        <w:spacing w:after="0" w:line="240" w:lineRule="auto"/>
        <w:jc w:val="both"/>
        <w:rPr>
          <w:rFonts w:ascii="Times New Roman" w:eastAsia="Times New Roman" w:hAnsi="Times New Roman" w:cs="Times New Roman"/>
          <w:bCs/>
          <w:sz w:val="28"/>
          <w:szCs w:val="28"/>
          <w:lang w:eastAsia="ru-RU"/>
        </w:rPr>
      </w:pPr>
      <w:r w:rsidRPr="000854E9">
        <w:rPr>
          <w:rFonts w:ascii="Times New Roman" w:eastAsia="Times New Roman" w:hAnsi="Times New Roman" w:cs="Times New Roman"/>
          <w:bCs/>
          <w:sz w:val="28"/>
          <w:szCs w:val="28"/>
          <w:lang w:eastAsia="ru-RU"/>
        </w:rPr>
        <w:tab/>
        <w:t>Удосконалення порядку сплати єдиного податку суб’єктами підприємництва, які працюють на спрощеній системі оподаткування, усунення можливості неоднозначного тлумачення положень чинного законодавства України під час здійснення підприємницької діяльності суб’єктами господарювання на території міста Суми, забезпечення реалізації державної фінансової політики та підвищення ефективності справляння єдиного податку фізичними особами – підприємцями.</w:t>
      </w:r>
    </w:p>
    <w:p w:rsidR="000854E9" w:rsidRPr="000854E9" w:rsidRDefault="000854E9" w:rsidP="000854E9">
      <w:pPr>
        <w:spacing w:after="0" w:line="240" w:lineRule="auto"/>
        <w:rPr>
          <w:rFonts w:ascii="Times New Roman" w:eastAsia="Times New Roman" w:hAnsi="Times New Roman" w:cs="Times New Roman"/>
          <w:sz w:val="28"/>
          <w:szCs w:val="28"/>
          <w:lang w:eastAsia="ru-RU"/>
        </w:rPr>
      </w:pP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4. Строк виконання заходів відстеження</w:t>
      </w:r>
    </w:p>
    <w:p w:rsidR="000854E9" w:rsidRPr="000854E9" w:rsidRDefault="000854E9" w:rsidP="000854E9">
      <w:pPr>
        <w:spacing w:after="0" w:line="240" w:lineRule="auto"/>
        <w:ind w:firstLine="546"/>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Відстеження проводилось з 2</w:t>
      </w:r>
      <w:r w:rsidR="00455BE8">
        <w:rPr>
          <w:rFonts w:ascii="Times New Roman" w:eastAsia="Times New Roman" w:hAnsi="Times New Roman" w:cs="Times New Roman"/>
          <w:sz w:val="28"/>
          <w:szCs w:val="28"/>
          <w:lang w:eastAsia="ru-RU"/>
        </w:rPr>
        <w:t>2</w:t>
      </w:r>
      <w:r w:rsidRPr="000854E9">
        <w:rPr>
          <w:rFonts w:ascii="Times New Roman" w:eastAsia="Times New Roman" w:hAnsi="Times New Roman" w:cs="Times New Roman"/>
          <w:sz w:val="28"/>
          <w:szCs w:val="28"/>
          <w:lang w:eastAsia="ru-RU"/>
        </w:rPr>
        <w:t>.05.201</w:t>
      </w:r>
      <w:r w:rsidR="00455BE8">
        <w:rPr>
          <w:rFonts w:ascii="Times New Roman" w:eastAsia="Times New Roman" w:hAnsi="Times New Roman" w:cs="Times New Roman"/>
          <w:sz w:val="28"/>
          <w:szCs w:val="28"/>
          <w:lang w:eastAsia="ru-RU"/>
        </w:rPr>
        <w:t>8 року по 22</w:t>
      </w:r>
      <w:r w:rsidRPr="000854E9">
        <w:rPr>
          <w:rFonts w:ascii="Times New Roman" w:eastAsia="Times New Roman" w:hAnsi="Times New Roman" w:cs="Times New Roman"/>
          <w:sz w:val="28"/>
          <w:szCs w:val="28"/>
          <w:lang w:eastAsia="ru-RU"/>
        </w:rPr>
        <w:t>.06.201</w:t>
      </w:r>
      <w:r w:rsidR="00455BE8">
        <w:rPr>
          <w:rFonts w:ascii="Times New Roman" w:eastAsia="Times New Roman" w:hAnsi="Times New Roman" w:cs="Times New Roman"/>
          <w:sz w:val="28"/>
          <w:szCs w:val="28"/>
          <w:lang w:eastAsia="ru-RU"/>
        </w:rPr>
        <w:t>8</w:t>
      </w:r>
      <w:r w:rsidRPr="000854E9">
        <w:rPr>
          <w:rFonts w:ascii="Times New Roman" w:eastAsia="Times New Roman" w:hAnsi="Times New Roman" w:cs="Times New Roman"/>
          <w:sz w:val="28"/>
          <w:szCs w:val="28"/>
          <w:lang w:eastAsia="ru-RU"/>
        </w:rPr>
        <w:t xml:space="preserve"> року.</w:t>
      </w:r>
    </w:p>
    <w:p w:rsidR="000854E9" w:rsidRPr="000854E9" w:rsidRDefault="000854E9" w:rsidP="000854E9">
      <w:pPr>
        <w:spacing w:after="0" w:line="240" w:lineRule="auto"/>
        <w:rPr>
          <w:rFonts w:ascii="Times New Roman" w:eastAsia="Times New Roman" w:hAnsi="Times New Roman" w:cs="Times New Roman"/>
          <w:b/>
          <w:bCs/>
          <w:i/>
          <w:sz w:val="28"/>
          <w:szCs w:val="28"/>
          <w:lang w:eastAsia="ru-RU"/>
        </w:rPr>
      </w:pPr>
    </w:p>
    <w:p w:rsidR="000854E9" w:rsidRPr="000854E9" w:rsidRDefault="000854E9" w:rsidP="000854E9">
      <w:pPr>
        <w:spacing w:after="0" w:line="240" w:lineRule="auto"/>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b/>
          <w:bCs/>
          <w:sz w:val="28"/>
          <w:szCs w:val="28"/>
          <w:lang w:eastAsia="ru-RU"/>
        </w:rPr>
        <w:t>5. Тип відстеження (базовий, повторний або періодичний)</w:t>
      </w:r>
    </w:p>
    <w:p w:rsidR="000854E9" w:rsidRPr="000854E9" w:rsidRDefault="000854E9" w:rsidP="000854E9">
      <w:pPr>
        <w:spacing w:after="0" w:line="240" w:lineRule="auto"/>
        <w:ind w:firstLine="546"/>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Застосовувався </w:t>
      </w:r>
      <w:r w:rsidR="00455BE8">
        <w:rPr>
          <w:rFonts w:ascii="Times New Roman" w:eastAsia="Times New Roman" w:hAnsi="Times New Roman" w:cs="Times New Roman"/>
          <w:sz w:val="28"/>
          <w:szCs w:val="28"/>
          <w:lang w:eastAsia="ru-RU"/>
        </w:rPr>
        <w:t>базов</w:t>
      </w:r>
      <w:r w:rsidRPr="000854E9">
        <w:rPr>
          <w:rFonts w:ascii="Times New Roman" w:eastAsia="Times New Roman" w:hAnsi="Times New Roman" w:cs="Times New Roman"/>
          <w:sz w:val="28"/>
          <w:szCs w:val="28"/>
          <w:lang w:eastAsia="ru-RU"/>
        </w:rPr>
        <w:t>ий тип відстеження.</w:t>
      </w:r>
    </w:p>
    <w:p w:rsidR="000854E9" w:rsidRPr="000854E9" w:rsidRDefault="000854E9" w:rsidP="000854E9">
      <w:pPr>
        <w:spacing w:after="0" w:line="240" w:lineRule="auto"/>
        <w:jc w:val="both"/>
        <w:rPr>
          <w:rFonts w:ascii="Times New Roman" w:eastAsia="Times New Roman" w:hAnsi="Times New Roman" w:cs="Times New Roman"/>
          <w:b/>
          <w:bCs/>
          <w:i/>
          <w:sz w:val="28"/>
          <w:szCs w:val="28"/>
          <w:lang w:eastAsia="ru-RU"/>
        </w:rPr>
      </w:pPr>
    </w:p>
    <w:p w:rsidR="000854E9" w:rsidRPr="000854E9" w:rsidRDefault="000854E9" w:rsidP="000854E9">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6. Методи одержання результатів відстеження</w:t>
      </w:r>
    </w:p>
    <w:p w:rsidR="00455BE8" w:rsidRPr="00A86FA8" w:rsidRDefault="00455BE8" w:rsidP="00455BE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6FA8">
        <w:rPr>
          <w:rFonts w:ascii="Times New Roman" w:eastAsia="Times New Roman" w:hAnsi="Times New Roman" w:cs="Times New Roman"/>
          <w:sz w:val="28"/>
          <w:szCs w:val="28"/>
          <w:lang w:eastAsia="ru-RU"/>
        </w:rPr>
        <w:t xml:space="preserve">При одержанні результатів відстеження застосовувався аналіз інформації </w:t>
      </w:r>
      <w:r>
        <w:rPr>
          <w:rFonts w:ascii="Times New Roman" w:eastAsia="Times New Roman" w:hAnsi="Times New Roman" w:cs="Times New Roman"/>
          <w:sz w:val="28"/>
          <w:szCs w:val="28"/>
          <w:lang w:eastAsia="ru-RU"/>
        </w:rPr>
        <w:t xml:space="preserve">від </w:t>
      </w:r>
      <w:r w:rsidRPr="008167DE">
        <w:rPr>
          <w:rFonts w:ascii="Times New Roman" w:eastAsia="Times New Roman" w:hAnsi="Times New Roman" w:cs="Times New Roman"/>
          <w:bCs/>
          <w:sz w:val="28"/>
          <w:szCs w:val="28"/>
          <w:lang w:eastAsia="ru-RU"/>
        </w:rPr>
        <w:t xml:space="preserve">Головного управління </w:t>
      </w:r>
      <w:r>
        <w:rPr>
          <w:rFonts w:ascii="Times New Roman" w:eastAsia="Times New Roman" w:hAnsi="Times New Roman" w:cs="Times New Roman"/>
          <w:bCs/>
          <w:sz w:val="28"/>
          <w:szCs w:val="28"/>
          <w:lang w:eastAsia="ru-RU"/>
        </w:rPr>
        <w:t>державної фіскальної служби</w:t>
      </w:r>
      <w:r w:rsidRPr="008167DE">
        <w:rPr>
          <w:rFonts w:ascii="Times New Roman" w:eastAsia="Times New Roman" w:hAnsi="Times New Roman" w:cs="Times New Roman"/>
          <w:bCs/>
          <w:sz w:val="28"/>
          <w:szCs w:val="28"/>
          <w:lang w:eastAsia="ru-RU"/>
        </w:rPr>
        <w:t xml:space="preserve"> у Сумській області</w:t>
      </w:r>
      <w:r>
        <w:rPr>
          <w:rFonts w:ascii="Times New Roman" w:eastAsia="Times New Roman" w:hAnsi="Times New Roman" w:cs="Times New Roman"/>
          <w:bCs/>
          <w:sz w:val="28"/>
          <w:szCs w:val="28"/>
          <w:lang w:eastAsia="ru-RU"/>
        </w:rPr>
        <w:t xml:space="preserve">, </w:t>
      </w:r>
      <w:r w:rsidRPr="00A86FA8">
        <w:rPr>
          <w:rFonts w:ascii="Times New Roman" w:eastAsia="Times New Roman" w:hAnsi="Times New Roman" w:cs="Times New Roman"/>
          <w:sz w:val="28"/>
          <w:szCs w:val="28"/>
          <w:lang w:eastAsia="ru-RU"/>
        </w:rPr>
        <w:t xml:space="preserve">державної податкової інспекції у м. Сумах </w:t>
      </w:r>
      <w:r w:rsidRPr="008167DE">
        <w:rPr>
          <w:rFonts w:ascii="Times New Roman" w:eastAsia="Times New Roman" w:hAnsi="Times New Roman" w:cs="Times New Roman"/>
          <w:bCs/>
          <w:sz w:val="28"/>
          <w:szCs w:val="28"/>
          <w:lang w:eastAsia="ru-RU"/>
        </w:rPr>
        <w:t xml:space="preserve">Головного управління </w:t>
      </w:r>
      <w:r>
        <w:rPr>
          <w:rFonts w:ascii="Times New Roman" w:eastAsia="Times New Roman" w:hAnsi="Times New Roman" w:cs="Times New Roman"/>
          <w:bCs/>
          <w:sz w:val="28"/>
          <w:szCs w:val="28"/>
          <w:lang w:eastAsia="ru-RU"/>
        </w:rPr>
        <w:t>державної фіскальної служби</w:t>
      </w:r>
      <w:r w:rsidRPr="00A86FA8">
        <w:rPr>
          <w:rFonts w:ascii="Times New Roman" w:eastAsia="Times New Roman" w:hAnsi="Times New Roman" w:cs="Times New Roman"/>
          <w:sz w:val="28"/>
          <w:szCs w:val="28"/>
          <w:lang w:eastAsia="ru-RU"/>
        </w:rPr>
        <w:t xml:space="preserve"> у Сумський області щодо фактичних надходжень до міського бюджету коштів по сплаті єдиного податку </w:t>
      </w:r>
      <w:r>
        <w:rPr>
          <w:rFonts w:ascii="Times New Roman" w:eastAsia="Times New Roman" w:hAnsi="Times New Roman" w:cs="Times New Roman"/>
          <w:sz w:val="28"/>
          <w:szCs w:val="28"/>
          <w:lang w:eastAsia="ru-RU"/>
        </w:rPr>
        <w:t xml:space="preserve">юридичними особами, сільськогосподарськими виробниками, </w:t>
      </w:r>
      <w:r w:rsidRPr="00A86FA8">
        <w:rPr>
          <w:rFonts w:ascii="Times New Roman" w:eastAsia="Times New Roman" w:hAnsi="Times New Roman" w:cs="Times New Roman"/>
          <w:sz w:val="28"/>
          <w:szCs w:val="28"/>
          <w:lang w:eastAsia="ru-RU"/>
        </w:rPr>
        <w:t>фізични</w:t>
      </w:r>
      <w:r>
        <w:rPr>
          <w:rFonts w:ascii="Times New Roman" w:eastAsia="Times New Roman" w:hAnsi="Times New Roman" w:cs="Times New Roman"/>
          <w:sz w:val="28"/>
          <w:szCs w:val="28"/>
          <w:lang w:eastAsia="ru-RU"/>
        </w:rPr>
        <w:t>ми осо</w:t>
      </w:r>
      <w:r w:rsidRPr="00A86FA8">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ами - підприємцями</w:t>
      </w:r>
      <w:r w:rsidRPr="00A86FA8">
        <w:rPr>
          <w:rFonts w:ascii="Times New Roman" w:eastAsia="Times New Roman" w:hAnsi="Times New Roman" w:cs="Times New Roman"/>
          <w:sz w:val="28"/>
          <w:szCs w:val="28"/>
          <w:lang w:eastAsia="ru-RU"/>
        </w:rPr>
        <w:t xml:space="preserve">, які працюють на спрощеній системі оподаткування, обліку та звітності та сплачують єдиний податок у розмірі фіксованої ставки єдиного податку. </w:t>
      </w:r>
    </w:p>
    <w:p w:rsidR="000854E9" w:rsidRPr="000854E9" w:rsidRDefault="000854E9" w:rsidP="000854E9">
      <w:pPr>
        <w:spacing w:after="0" w:line="240" w:lineRule="auto"/>
        <w:jc w:val="both"/>
        <w:rPr>
          <w:rFonts w:ascii="Times New Roman" w:eastAsia="Times New Roman" w:hAnsi="Times New Roman" w:cs="Times New Roman"/>
          <w:b/>
          <w:bCs/>
          <w:i/>
          <w:sz w:val="28"/>
          <w:szCs w:val="28"/>
          <w:lang w:eastAsia="ru-RU"/>
        </w:rPr>
      </w:pPr>
    </w:p>
    <w:p w:rsidR="00455BE8" w:rsidRDefault="00455BE8" w:rsidP="000854E9">
      <w:pPr>
        <w:spacing w:after="0" w:line="240" w:lineRule="auto"/>
        <w:jc w:val="both"/>
        <w:rPr>
          <w:rFonts w:ascii="Times New Roman" w:eastAsia="Times New Roman" w:hAnsi="Times New Roman" w:cs="Times New Roman"/>
          <w:b/>
          <w:bCs/>
          <w:sz w:val="28"/>
          <w:szCs w:val="28"/>
          <w:lang w:eastAsia="ru-RU"/>
        </w:rPr>
      </w:pPr>
    </w:p>
    <w:p w:rsidR="00455BE8" w:rsidRDefault="00455BE8" w:rsidP="000854E9">
      <w:pPr>
        <w:spacing w:after="0" w:line="240" w:lineRule="auto"/>
        <w:jc w:val="both"/>
        <w:rPr>
          <w:rFonts w:ascii="Times New Roman" w:eastAsia="Times New Roman" w:hAnsi="Times New Roman" w:cs="Times New Roman"/>
          <w:b/>
          <w:bCs/>
          <w:sz w:val="28"/>
          <w:szCs w:val="28"/>
          <w:lang w:eastAsia="ru-RU"/>
        </w:rPr>
      </w:pPr>
    </w:p>
    <w:p w:rsidR="000854E9" w:rsidRPr="000854E9" w:rsidRDefault="000854E9" w:rsidP="000854E9">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lastRenderedPageBreak/>
        <w:t>7. Дані або припущення, на основі яких відстежувалася результативність,                  а також способи одержання даних</w:t>
      </w:r>
    </w:p>
    <w:p w:rsidR="000854E9" w:rsidRPr="000854E9" w:rsidRDefault="000854E9" w:rsidP="000854E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При відстеженні результативності регуляторного акта оцінювались:</w:t>
      </w:r>
    </w:p>
    <w:p w:rsidR="000854E9" w:rsidRPr="000854E9" w:rsidRDefault="000854E9" w:rsidP="000854E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кількість суб’єктів господарювання та/або фізичних осіб, на яких поширюються дія акта – фізичних осіб – підприємців, які працюють на спрощеній системі оподаткування, обліку та звітності та сплачують єдиний податок у розмірі фіксованої ставки єдиного податку.</w:t>
      </w:r>
    </w:p>
    <w:p w:rsidR="000854E9" w:rsidRPr="000854E9" w:rsidRDefault="000854E9" w:rsidP="000854E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розмір коштів і час, що витрачаються суб’єктами господарювання та/або фізичними особами фактично, відсутність (наявність) скарг на необхідність витрат часу;</w:t>
      </w:r>
    </w:p>
    <w:p w:rsidR="000854E9" w:rsidRPr="000854E9" w:rsidRDefault="000854E9" w:rsidP="000854E9">
      <w:pPr>
        <w:spacing w:after="0" w:line="240" w:lineRule="auto"/>
        <w:ind w:firstLine="708"/>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 спрощення розуміння механізму справляння єдиного податку та обчислення його суми залежно від виду господарської діяльності та рівень поінформованості суб'єктів господарювання та/або фізичних осіб щодо основних положень акта. </w:t>
      </w:r>
    </w:p>
    <w:p w:rsidR="000854E9" w:rsidRPr="000854E9" w:rsidRDefault="000854E9" w:rsidP="000854E9">
      <w:pPr>
        <w:spacing w:after="120" w:line="240" w:lineRule="auto"/>
        <w:ind w:firstLine="708"/>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Відстеження результативності регуляторного акту проведено на підставі статистичної інформації та відомостей про фактичні надходження до міського бюджету єдиного податку суб’єктів господарювання та/або фізичних осіб, які здійснюють підприємницьку діяльність на території м. Суми. </w:t>
      </w:r>
    </w:p>
    <w:p w:rsidR="007F163B" w:rsidRDefault="000854E9" w:rsidP="007F163B">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8. Кількісні та  якісні значення показників результативності акта</w:t>
      </w:r>
    </w:p>
    <w:p w:rsidR="000854E9" w:rsidRDefault="000854E9" w:rsidP="007F163B">
      <w:pPr>
        <w:spacing w:after="0" w:line="240" w:lineRule="auto"/>
        <w:ind w:firstLine="708"/>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bCs/>
          <w:sz w:val="28"/>
          <w:szCs w:val="28"/>
          <w:lang w:eastAsia="ru-RU"/>
        </w:rPr>
        <w:t>Звернення, заяви або скарги від суб’єктів господарювання щодо витрат великої кількості часу на сплату єдиного податку, не</w:t>
      </w:r>
      <w:r w:rsidRPr="000854E9">
        <w:rPr>
          <w:rFonts w:ascii="Times New Roman" w:eastAsia="Times New Roman" w:hAnsi="Times New Roman" w:cs="Times New Roman"/>
          <w:sz w:val="28"/>
          <w:szCs w:val="28"/>
          <w:lang w:eastAsia="ru-RU"/>
        </w:rPr>
        <w:t>розуміння механізму справляння єдиного податку та обчислення його суми залежно від виду господарської діяльності н</w:t>
      </w:r>
      <w:r w:rsidRPr="000854E9">
        <w:rPr>
          <w:rFonts w:ascii="Times New Roman" w:eastAsia="Times New Roman" w:hAnsi="Times New Roman" w:cs="Times New Roman"/>
          <w:bCs/>
          <w:sz w:val="28"/>
          <w:szCs w:val="28"/>
          <w:lang w:eastAsia="ru-RU"/>
        </w:rPr>
        <w:t>е надходили. На засіданнях міської координаційної ради з питань розвитку підприємництва</w:t>
      </w:r>
      <w:r w:rsidR="00455BE8">
        <w:rPr>
          <w:rFonts w:ascii="Times New Roman" w:eastAsia="Times New Roman" w:hAnsi="Times New Roman" w:cs="Times New Roman"/>
          <w:bCs/>
          <w:sz w:val="28"/>
          <w:szCs w:val="28"/>
          <w:lang w:eastAsia="ru-RU"/>
        </w:rPr>
        <w:t xml:space="preserve"> у 2018 році</w:t>
      </w:r>
      <w:r w:rsidRPr="000854E9">
        <w:rPr>
          <w:rFonts w:ascii="Times New Roman" w:eastAsia="Times New Roman" w:hAnsi="Times New Roman" w:cs="Times New Roman"/>
          <w:bCs/>
          <w:sz w:val="28"/>
          <w:szCs w:val="28"/>
          <w:lang w:eastAsia="ru-RU"/>
        </w:rPr>
        <w:t xml:space="preserve"> жодного разу не піднімалось це питання як проблемне або незрозуміле.</w:t>
      </w:r>
      <w:r w:rsidR="00455BE8">
        <w:rPr>
          <w:rFonts w:ascii="Times New Roman" w:eastAsia="Times New Roman" w:hAnsi="Times New Roman" w:cs="Times New Roman"/>
          <w:bCs/>
          <w:sz w:val="28"/>
          <w:szCs w:val="28"/>
          <w:lang w:eastAsia="ru-RU"/>
        </w:rPr>
        <w:t xml:space="preserve"> Звернень</w:t>
      </w:r>
      <w:r w:rsidR="00455BE8" w:rsidRPr="00455BE8">
        <w:rPr>
          <w:rFonts w:ascii="Times New Roman" w:eastAsia="Times New Roman" w:hAnsi="Times New Roman" w:cs="Times New Roman"/>
          <w:sz w:val="28"/>
          <w:szCs w:val="28"/>
          <w:lang w:eastAsia="ru-RU"/>
        </w:rPr>
        <w:t xml:space="preserve"> </w:t>
      </w:r>
      <w:r w:rsidR="00455BE8">
        <w:rPr>
          <w:rFonts w:ascii="Times New Roman" w:eastAsia="Times New Roman" w:hAnsi="Times New Roman" w:cs="Times New Roman"/>
          <w:sz w:val="28"/>
          <w:szCs w:val="28"/>
          <w:lang w:eastAsia="ru-RU"/>
        </w:rPr>
        <w:t xml:space="preserve">від </w:t>
      </w:r>
      <w:r w:rsidR="00455BE8" w:rsidRPr="008167DE">
        <w:rPr>
          <w:rFonts w:ascii="Times New Roman" w:eastAsia="Times New Roman" w:hAnsi="Times New Roman" w:cs="Times New Roman"/>
          <w:bCs/>
          <w:sz w:val="28"/>
          <w:szCs w:val="28"/>
          <w:lang w:eastAsia="ru-RU"/>
        </w:rPr>
        <w:t xml:space="preserve">Головного управління </w:t>
      </w:r>
      <w:r w:rsidR="00455BE8">
        <w:rPr>
          <w:rFonts w:ascii="Times New Roman" w:eastAsia="Times New Roman" w:hAnsi="Times New Roman" w:cs="Times New Roman"/>
          <w:bCs/>
          <w:sz w:val="28"/>
          <w:szCs w:val="28"/>
          <w:lang w:eastAsia="ru-RU"/>
        </w:rPr>
        <w:t>державної фіскальної служби</w:t>
      </w:r>
      <w:r w:rsidR="00455BE8" w:rsidRPr="008167DE">
        <w:rPr>
          <w:rFonts w:ascii="Times New Roman" w:eastAsia="Times New Roman" w:hAnsi="Times New Roman" w:cs="Times New Roman"/>
          <w:bCs/>
          <w:sz w:val="28"/>
          <w:szCs w:val="28"/>
          <w:lang w:eastAsia="ru-RU"/>
        </w:rPr>
        <w:t xml:space="preserve"> у Сумській області</w:t>
      </w:r>
      <w:r w:rsidR="00455BE8">
        <w:rPr>
          <w:rFonts w:ascii="Times New Roman" w:eastAsia="Times New Roman" w:hAnsi="Times New Roman" w:cs="Times New Roman"/>
          <w:bCs/>
          <w:sz w:val="28"/>
          <w:szCs w:val="28"/>
          <w:lang w:eastAsia="ru-RU"/>
        </w:rPr>
        <w:t xml:space="preserve"> або </w:t>
      </w:r>
      <w:r w:rsidR="00455BE8" w:rsidRPr="00A86FA8">
        <w:rPr>
          <w:rFonts w:ascii="Times New Roman" w:eastAsia="Times New Roman" w:hAnsi="Times New Roman" w:cs="Times New Roman"/>
          <w:sz w:val="28"/>
          <w:szCs w:val="28"/>
          <w:lang w:eastAsia="ru-RU"/>
        </w:rPr>
        <w:t xml:space="preserve">державної податкової інспекції у м. Сумах </w:t>
      </w:r>
      <w:r w:rsidR="00455BE8" w:rsidRPr="008167DE">
        <w:rPr>
          <w:rFonts w:ascii="Times New Roman" w:eastAsia="Times New Roman" w:hAnsi="Times New Roman" w:cs="Times New Roman"/>
          <w:bCs/>
          <w:sz w:val="28"/>
          <w:szCs w:val="28"/>
          <w:lang w:eastAsia="ru-RU"/>
        </w:rPr>
        <w:t xml:space="preserve">Головного управління </w:t>
      </w:r>
      <w:r w:rsidR="00455BE8">
        <w:rPr>
          <w:rFonts w:ascii="Times New Roman" w:eastAsia="Times New Roman" w:hAnsi="Times New Roman" w:cs="Times New Roman"/>
          <w:bCs/>
          <w:sz w:val="28"/>
          <w:szCs w:val="28"/>
          <w:lang w:eastAsia="ru-RU"/>
        </w:rPr>
        <w:t>державної фіскальної служби</w:t>
      </w:r>
      <w:r w:rsidR="00455BE8" w:rsidRPr="00A86FA8">
        <w:rPr>
          <w:rFonts w:ascii="Times New Roman" w:eastAsia="Times New Roman" w:hAnsi="Times New Roman" w:cs="Times New Roman"/>
          <w:sz w:val="28"/>
          <w:szCs w:val="28"/>
          <w:lang w:eastAsia="ru-RU"/>
        </w:rPr>
        <w:t xml:space="preserve"> у Сумський області</w:t>
      </w:r>
      <w:r w:rsidR="00455BE8" w:rsidRPr="00455BE8">
        <w:rPr>
          <w:rFonts w:ascii="Times New Roman" w:eastAsia="Times New Roman" w:hAnsi="Times New Roman" w:cs="Times New Roman"/>
          <w:sz w:val="28"/>
          <w:szCs w:val="28"/>
          <w:lang w:eastAsia="ru-RU"/>
        </w:rPr>
        <w:t xml:space="preserve"> </w:t>
      </w:r>
      <w:r w:rsidR="007D2056">
        <w:rPr>
          <w:rFonts w:ascii="Times New Roman" w:eastAsia="Times New Roman" w:hAnsi="Times New Roman" w:cs="Times New Roman"/>
          <w:sz w:val="28"/>
          <w:szCs w:val="28"/>
          <w:lang w:eastAsia="ru-RU"/>
        </w:rPr>
        <w:t>стосовно наявності питань з практичного застосування Положення не надходило.</w:t>
      </w:r>
    </w:p>
    <w:p w:rsidR="007F163B" w:rsidRDefault="007F163B" w:rsidP="007D2056">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p>
    <w:p w:rsidR="007D2056" w:rsidRPr="000910EF" w:rsidRDefault="007D2056" w:rsidP="007D205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Показники результативності</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2199"/>
        <w:gridCol w:w="2268"/>
        <w:gridCol w:w="1843"/>
        <w:gridCol w:w="1701"/>
      </w:tblGrid>
      <w:tr w:rsidR="007D2056" w:rsidRPr="000910EF" w:rsidTr="00480F95">
        <w:trPr>
          <w:trHeight w:val="457"/>
        </w:trPr>
        <w:tc>
          <w:tcPr>
            <w:tcW w:w="1731" w:type="dxa"/>
            <w:vMerge w:val="restart"/>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eastAsia="ru-RU"/>
              </w:rPr>
              <w:t>Станом на дату</w:t>
            </w:r>
          </w:p>
        </w:tc>
        <w:tc>
          <w:tcPr>
            <w:tcW w:w="8011" w:type="dxa"/>
            <w:gridSpan w:val="4"/>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eastAsia="ru-RU"/>
              </w:rPr>
              <w:t>Кількість платників єдиного податку в м. Суми, од.</w:t>
            </w:r>
          </w:p>
        </w:tc>
      </w:tr>
      <w:tr w:rsidR="007D2056" w:rsidRPr="000910EF" w:rsidTr="00480F95">
        <w:trPr>
          <w:trHeight w:val="267"/>
        </w:trPr>
        <w:tc>
          <w:tcPr>
            <w:tcW w:w="1731" w:type="dxa"/>
            <w:vMerge/>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
        </w:tc>
        <w:tc>
          <w:tcPr>
            <w:tcW w:w="2199" w:type="dxa"/>
            <w:vMerge w:val="restart"/>
          </w:tcPr>
          <w:p w:rsidR="007D2056"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сільгосп</w:t>
            </w:r>
            <w:proofErr w:type="spellEnd"/>
            <w:r>
              <w:rPr>
                <w:rFonts w:ascii="Times New Roman" w:eastAsia="Times New Roman" w:hAnsi="Times New Roman" w:cs="Times New Roman"/>
                <w:b/>
                <w:bCs/>
                <w:sz w:val="28"/>
                <w:szCs w:val="28"/>
                <w:lang w:eastAsia="ru-RU"/>
              </w:rPr>
              <w:t>-</w:t>
            </w:r>
          </w:p>
          <w:p w:rsidR="007D2056"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товаровироб</w:t>
            </w:r>
            <w:proofErr w:type="spellEnd"/>
            <w:r>
              <w:rPr>
                <w:rFonts w:ascii="Times New Roman" w:eastAsia="Times New Roman" w:hAnsi="Times New Roman" w:cs="Times New Roman"/>
                <w:b/>
                <w:bCs/>
                <w:sz w:val="28"/>
                <w:szCs w:val="28"/>
                <w:lang w:eastAsia="ru-RU"/>
              </w:rPr>
              <w:t>-</w:t>
            </w:r>
          </w:p>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ники</w:t>
            </w:r>
            <w:proofErr w:type="spellEnd"/>
          </w:p>
        </w:tc>
        <w:tc>
          <w:tcPr>
            <w:tcW w:w="2268" w:type="dxa"/>
            <w:vMerge w:val="restart"/>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ю</w:t>
            </w:r>
            <w:r w:rsidRPr="000910EF">
              <w:rPr>
                <w:rFonts w:ascii="Times New Roman" w:eastAsia="Times New Roman" w:hAnsi="Times New Roman" w:cs="Times New Roman"/>
                <w:b/>
                <w:bCs/>
                <w:sz w:val="28"/>
                <w:szCs w:val="28"/>
                <w:lang w:eastAsia="ru-RU"/>
              </w:rPr>
              <w:t>ридичні особи</w:t>
            </w:r>
          </w:p>
        </w:tc>
        <w:tc>
          <w:tcPr>
            <w:tcW w:w="3544" w:type="dxa"/>
            <w:gridSpan w:val="2"/>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w:t>
            </w:r>
            <w:r w:rsidRPr="000910EF">
              <w:rPr>
                <w:rFonts w:ascii="Times New Roman" w:eastAsia="Times New Roman" w:hAnsi="Times New Roman" w:cs="Times New Roman"/>
                <w:b/>
                <w:bCs/>
                <w:sz w:val="28"/>
                <w:szCs w:val="28"/>
                <w:lang w:eastAsia="ru-RU"/>
              </w:rPr>
              <w:t>ізичні особи</w:t>
            </w:r>
            <w:r>
              <w:rPr>
                <w:rFonts w:ascii="Times New Roman" w:eastAsia="Times New Roman" w:hAnsi="Times New Roman" w:cs="Times New Roman"/>
                <w:b/>
                <w:bCs/>
                <w:sz w:val="28"/>
                <w:szCs w:val="28"/>
                <w:lang w:eastAsia="ru-RU"/>
              </w:rPr>
              <w:t>-підприємці</w:t>
            </w:r>
            <w:r w:rsidRPr="000910EF">
              <w:rPr>
                <w:rFonts w:ascii="Times New Roman" w:eastAsia="Times New Roman" w:hAnsi="Times New Roman" w:cs="Times New Roman"/>
                <w:b/>
                <w:bCs/>
                <w:sz w:val="28"/>
                <w:szCs w:val="28"/>
                <w:lang w:eastAsia="ru-RU"/>
              </w:rPr>
              <w:t>, з них:</w:t>
            </w:r>
          </w:p>
        </w:tc>
      </w:tr>
      <w:tr w:rsidR="007D2056" w:rsidRPr="000910EF" w:rsidTr="00480F95">
        <w:trPr>
          <w:trHeight w:val="86"/>
        </w:trPr>
        <w:tc>
          <w:tcPr>
            <w:tcW w:w="1731" w:type="dxa"/>
            <w:vMerge/>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
        </w:tc>
        <w:tc>
          <w:tcPr>
            <w:tcW w:w="2199" w:type="dxa"/>
            <w:vMerge/>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
        </w:tc>
        <w:tc>
          <w:tcPr>
            <w:tcW w:w="2268" w:type="dxa"/>
            <w:vMerge/>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
        </w:tc>
        <w:tc>
          <w:tcPr>
            <w:tcW w:w="1843" w:type="dxa"/>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val="en-US" w:eastAsia="ru-RU"/>
              </w:rPr>
              <w:t xml:space="preserve">I </w:t>
            </w:r>
            <w:r w:rsidRPr="000910EF">
              <w:rPr>
                <w:rFonts w:ascii="Times New Roman" w:eastAsia="Times New Roman" w:hAnsi="Times New Roman" w:cs="Times New Roman"/>
                <w:b/>
                <w:bCs/>
                <w:sz w:val="28"/>
                <w:szCs w:val="28"/>
                <w:lang w:eastAsia="ru-RU"/>
              </w:rPr>
              <w:t>група</w:t>
            </w:r>
          </w:p>
        </w:tc>
        <w:tc>
          <w:tcPr>
            <w:tcW w:w="1701" w:type="dxa"/>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val="en-US" w:eastAsia="ru-RU"/>
              </w:rPr>
              <w:t>II</w:t>
            </w:r>
            <w:r w:rsidRPr="000910EF">
              <w:rPr>
                <w:rFonts w:ascii="Times New Roman" w:eastAsia="Times New Roman" w:hAnsi="Times New Roman" w:cs="Times New Roman"/>
                <w:b/>
                <w:bCs/>
                <w:sz w:val="28"/>
                <w:szCs w:val="28"/>
                <w:lang w:eastAsia="ru-RU"/>
              </w:rPr>
              <w:t xml:space="preserve"> група</w:t>
            </w:r>
          </w:p>
        </w:tc>
      </w:tr>
      <w:tr w:rsidR="007D2056" w:rsidRPr="000910EF" w:rsidTr="00480F95">
        <w:trPr>
          <w:trHeight w:val="296"/>
        </w:trPr>
        <w:tc>
          <w:tcPr>
            <w:tcW w:w="173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sidRPr="000910EF">
              <w:rPr>
                <w:rFonts w:ascii="Times New Roman" w:eastAsia="Times New Roman" w:hAnsi="Times New Roman" w:cs="Times New Roman"/>
                <w:sz w:val="28"/>
                <w:szCs w:val="28"/>
                <w:lang w:eastAsia="ru-RU"/>
              </w:rPr>
              <w:t>01.06.17</w:t>
            </w:r>
          </w:p>
        </w:tc>
        <w:tc>
          <w:tcPr>
            <w:tcW w:w="2199" w:type="dxa"/>
          </w:tcPr>
          <w:p w:rsidR="007D2056"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1750</w:t>
            </w:r>
          </w:p>
        </w:tc>
        <w:tc>
          <w:tcPr>
            <w:tcW w:w="1843"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2532</w:t>
            </w:r>
          </w:p>
        </w:tc>
        <w:tc>
          <w:tcPr>
            <w:tcW w:w="170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5445</w:t>
            </w:r>
          </w:p>
        </w:tc>
      </w:tr>
      <w:tr w:rsidR="007D2056" w:rsidRPr="000910EF" w:rsidTr="00480F95">
        <w:trPr>
          <w:trHeight w:val="244"/>
        </w:trPr>
        <w:tc>
          <w:tcPr>
            <w:tcW w:w="173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sidRPr="000910EF">
              <w:rPr>
                <w:rFonts w:ascii="Times New Roman" w:eastAsia="Times New Roman" w:hAnsi="Times New Roman" w:cs="Times New Roman"/>
                <w:sz w:val="28"/>
                <w:szCs w:val="28"/>
                <w:lang w:eastAsia="ru-RU"/>
              </w:rPr>
              <w:t>01.01.18</w:t>
            </w:r>
          </w:p>
        </w:tc>
        <w:tc>
          <w:tcPr>
            <w:tcW w:w="2199" w:type="dxa"/>
          </w:tcPr>
          <w:p w:rsidR="007D2056"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1765</w:t>
            </w:r>
          </w:p>
        </w:tc>
        <w:tc>
          <w:tcPr>
            <w:tcW w:w="1843"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2441</w:t>
            </w:r>
          </w:p>
        </w:tc>
        <w:tc>
          <w:tcPr>
            <w:tcW w:w="170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5535</w:t>
            </w:r>
          </w:p>
        </w:tc>
      </w:tr>
      <w:tr w:rsidR="007D2056" w:rsidRPr="000910EF" w:rsidTr="00480F95">
        <w:trPr>
          <w:trHeight w:val="191"/>
        </w:trPr>
        <w:tc>
          <w:tcPr>
            <w:tcW w:w="173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sidRPr="000910EF">
              <w:rPr>
                <w:rFonts w:ascii="Times New Roman" w:eastAsia="Times New Roman" w:hAnsi="Times New Roman" w:cs="Times New Roman"/>
                <w:sz w:val="28"/>
                <w:szCs w:val="28"/>
                <w:lang w:eastAsia="ru-RU"/>
              </w:rPr>
              <w:t>01.06.18</w:t>
            </w:r>
          </w:p>
        </w:tc>
        <w:tc>
          <w:tcPr>
            <w:tcW w:w="2199" w:type="dxa"/>
          </w:tcPr>
          <w:p w:rsidR="007D2056"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1790</w:t>
            </w:r>
          </w:p>
        </w:tc>
        <w:tc>
          <w:tcPr>
            <w:tcW w:w="1843"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2314</w:t>
            </w:r>
          </w:p>
        </w:tc>
        <w:tc>
          <w:tcPr>
            <w:tcW w:w="170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5568</w:t>
            </w:r>
          </w:p>
        </w:tc>
      </w:tr>
    </w:tbl>
    <w:p w:rsidR="007D2056" w:rsidRDefault="007D2056" w:rsidP="007D2056">
      <w:pPr>
        <w:tabs>
          <w:tab w:val="left" w:pos="12380"/>
        </w:tabs>
        <w:spacing w:after="0" w:line="240" w:lineRule="auto"/>
        <w:jc w:val="center"/>
        <w:rPr>
          <w:rFonts w:ascii="Times New Roman" w:eastAsia="Times New Roman" w:hAnsi="Times New Roman" w:cs="Times New Roman"/>
          <w:sz w:val="28"/>
          <w:szCs w:val="28"/>
          <w:lang w:eastAsia="ru-RU"/>
        </w:rPr>
      </w:pPr>
    </w:p>
    <w:p w:rsidR="007D2056" w:rsidRPr="000910EF" w:rsidRDefault="007D2056" w:rsidP="007D2056">
      <w:pPr>
        <w:tabs>
          <w:tab w:val="left" w:pos="12380"/>
        </w:tabs>
        <w:spacing w:after="0" w:line="240" w:lineRule="auto"/>
        <w:jc w:val="center"/>
        <w:rPr>
          <w:rFonts w:ascii="Times New Roman" w:eastAsia="Times New Roman" w:hAnsi="Times New Roman" w:cs="Times New Roman"/>
          <w:sz w:val="28"/>
          <w:szCs w:val="28"/>
          <w:lang w:eastAsia="ru-RU"/>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2139"/>
        <w:gridCol w:w="2693"/>
        <w:gridCol w:w="3119"/>
      </w:tblGrid>
      <w:tr w:rsidR="007D2056" w:rsidRPr="000910EF" w:rsidTr="00480F95">
        <w:trPr>
          <w:trHeight w:val="693"/>
        </w:trPr>
        <w:tc>
          <w:tcPr>
            <w:tcW w:w="1791" w:type="dxa"/>
            <w:vMerge w:val="restart"/>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eastAsia="ru-RU"/>
              </w:rPr>
              <w:lastRenderedPageBreak/>
              <w:t>За період</w:t>
            </w:r>
          </w:p>
        </w:tc>
        <w:tc>
          <w:tcPr>
            <w:tcW w:w="7951" w:type="dxa"/>
            <w:gridSpan w:val="3"/>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eastAsia="ru-RU"/>
              </w:rPr>
              <w:t>Сума надходжень до міського бюджету м. Суми від сплати єдиного податку,</w:t>
            </w:r>
            <w:r>
              <w:rPr>
                <w:rFonts w:ascii="Times New Roman" w:eastAsia="Times New Roman" w:hAnsi="Times New Roman" w:cs="Times New Roman"/>
                <w:b/>
                <w:bCs/>
                <w:sz w:val="28"/>
                <w:szCs w:val="28"/>
                <w:lang w:eastAsia="ru-RU"/>
              </w:rPr>
              <w:t xml:space="preserve"> тис. </w:t>
            </w:r>
            <w:r w:rsidRPr="000910EF">
              <w:rPr>
                <w:rFonts w:ascii="Times New Roman" w:eastAsia="Times New Roman" w:hAnsi="Times New Roman" w:cs="Times New Roman"/>
                <w:b/>
                <w:bCs/>
                <w:sz w:val="28"/>
                <w:szCs w:val="28"/>
                <w:lang w:eastAsia="ru-RU"/>
              </w:rPr>
              <w:t>грн.</w:t>
            </w:r>
          </w:p>
        </w:tc>
      </w:tr>
      <w:tr w:rsidR="007D2056" w:rsidRPr="000910EF" w:rsidTr="00480F95">
        <w:trPr>
          <w:trHeight w:val="662"/>
        </w:trPr>
        <w:tc>
          <w:tcPr>
            <w:tcW w:w="1791" w:type="dxa"/>
            <w:vMerge/>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
        </w:tc>
        <w:tc>
          <w:tcPr>
            <w:tcW w:w="2139" w:type="dxa"/>
          </w:tcPr>
          <w:p w:rsidR="007D2056"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сільгосп</w:t>
            </w:r>
            <w:proofErr w:type="spellEnd"/>
            <w:r>
              <w:rPr>
                <w:rFonts w:ascii="Times New Roman" w:eastAsia="Times New Roman" w:hAnsi="Times New Roman" w:cs="Times New Roman"/>
                <w:b/>
                <w:bCs/>
                <w:sz w:val="28"/>
                <w:szCs w:val="28"/>
                <w:lang w:eastAsia="ru-RU"/>
              </w:rPr>
              <w:t>-</w:t>
            </w:r>
          </w:p>
          <w:p w:rsidR="007D2056"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товаровироб</w:t>
            </w:r>
            <w:proofErr w:type="spellEnd"/>
            <w:r>
              <w:rPr>
                <w:rFonts w:ascii="Times New Roman" w:eastAsia="Times New Roman" w:hAnsi="Times New Roman" w:cs="Times New Roman"/>
                <w:b/>
                <w:bCs/>
                <w:sz w:val="28"/>
                <w:szCs w:val="28"/>
                <w:lang w:eastAsia="ru-RU"/>
              </w:rPr>
              <w:t>-</w:t>
            </w:r>
          </w:p>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ники</w:t>
            </w:r>
            <w:proofErr w:type="spellEnd"/>
          </w:p>
        </w:tc>
        <w:tc>
          <w:tcPr>
            <w:tcW w:w="2693" w:type="dxa"/>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eastAsia="ru-RU"/>
              </w:rPr>
              <w:t>Юридичні особи</w:t>
            </w:r>
          </w:p>
        </w:tc>
        <w:tc>
          <w:tcPr>
            <w:tcW w:w="3119" w:type="dxa"/>
            <w:vAlign w:val="center"/>
          </w:tcPr>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r w:rsidRPr="000910EF">
              <w:rPr>
                <w:rFonts w:ascii="Times New Roman" w:eastAsia="Times New Roman" w:hAnsi="Times New Roman" w:cs="Times New Roman"/>
                <w:b/>
                <w:bCs/>
                <w:sz w:val="28"/>
                <w:szCs w:val="28"/>
                <w:lang w:eastAsia="ru-RU"/>
              </w:rPr>
              <w:t>Фізичні особи</w:t>
            </w:r>
            <w:r>
              <w:rPr>
                <w:rFonts w:ascii="Times New Roman" w:eastAsia="Times New Roman" w:hAnsi="Times New Roman" w:cs="Times New Roman"/>
                <w:b/>
                <w:bCs/>
                <w:sz w:val="28"/>
                <w:szCs w:val="28"/>
                <w:lang w:eastAsia="ru-RU"/>
              </w:rPr>
              <w:t>-підприємці</w:t>
            </w:r>
            <w:r w:rsidRPr="000910EF">
              <w:rPr>
                <w:rFonts w:ascii="Times New Roman" w:eastAsia="Times New Roman" w:hAnsi="Times New Roman" w:cs="Times New Roman"/>
                <w:b/>
                <w:bCs/>
                <w:sz w:val="28"/>
                <w:szCs w:val="28"/>
                <w:lang w:eastAsia="ru-RU"/>
              </w:rPr>
              <w:t xml:space="preserve"> </w:t>
            </w:r>
          </w:p>
          <w:p w:rsidR="007D2056" w:rsidRPr="000910EF" w:rsidRDefault="007D2056" w:rsidP="00480F95">
            <w:pPr>
              <w:tabs>
                <w:tab w:val="left" w:pos="12380"/>
              </w:tabs>
              <w:spacing w:after="0" w:line="240" w:lineRule="auto"/>
              <w:jc w:val="center"/>
              <w:rPr>
                <w:rFonts w:ascii="Times New Roman" w:eastAsia="Times New Roman" w:hAnsi="Times New Roman" w:cs="Times New Roman"/>
                <w:b/>
                <w:bCs/>
                <w:sz w:val="28"/>
                <w:szCs w:val="28"/>
                <w:lang w:eastAsia="ru-RU"/>
              </w:rPr>
            </w:pPr>
          </w:p>
        </w:tc>
      </w:tr>
      <w:tr w:rsidR="007D2056" w:rsidRPr="000910EF" w:rsidTr="00480F95">
        <w:trPr>
          <w:trHeight w:val="296"/>
        </w:trPr>
        <w:tc>
          <w:tcPr>
            <w:tcW w:w="179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sidRPr="000910EF">
              <w:rPr>
                <w:rFonts w:ascii="Times New Roman" w:eastAsia="Times New Roman" w:hAnsi="Times New Roman" w:cs="Times New Roman"/>
                <w:sz w:val="28"/>
                <w:szCs w:val="28"/>
                <w:lang w:eastAsia="ru-RU"/>
              </w:rPr>
              <w:t>за 5 міс. 2017 р.</w:t>
            </w:r>
          </w:p>
        </w:tc>
        <w:tc>
          <w:tcPr>
            <w:tcW w:w="2139" w:type="dxa"/>
          </w:tcPr>
          <w:p w:rsidR="007D2056"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p>
          <w:p w:rsidR="007D2056"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p>
        </w:tc>
        <w:tc>
          <w:tcPr>
            <w:tcW w:w="2693"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15329,9</w:t>
            </w:r>
          </w:p>
        </w:tc>
        <w:tc>
          <w:tcPr>
            <w:tcW w:w="3119"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53958,3</w:t>
            </w:r>
          </w:p>
        </w:tc>
      </w:tr>
      <w:tr w:rsidR="007D2056" w:rsidRPr="000910EF" w:rsidTr="00480F95">
        <w:trPr>
          <w:trHeight w:val="244"/>
        </w:trPr>
        <w:tc>
          <w:tcPr>
            <w:tcW w:w="179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sidRPr="000910EF">
              <w:rPr>
                <w:rFonts w:ascii="Times New Roman" w:eastAsia="Times New Roman" w:hAnsi="Times New Roman" w:cs="Times New Roman"/>
                <w:sz w:val="28"/>
                <w:szCs w:val="28"/>
                <w:lang w:eastAsia="ru-RU"/>
              </w:rPr>
              <w:t>за 2017 р.</w:t>
            </w:r>
          </w:p>
        </w:tc>
        <w:tc>
          <w:tcPr>
            <w:tcW w:w="2139" w:type="dxa"/>
          </w:tcPr>
          <w:p w:rsidR="007D2056"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191,4</w:t>
            </w:r>
          </w:p>
        </w:tc>
        <w:tc>
          <w:tcPr>
            <w:tcW w:w="2693"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34414,9</w:t>
            </w:r>
          </w:p>
        </w:tc>
        <w:tc>
          <w:tcPr>
            <w:tcW w:w="3119"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118034,2</w:t>
            </w:r>
          </w:p>
        </w:tc>
      </w:tr>
      <w:tr w:rsidR="007D2056" w:rsidRPr="000910EF" w:rsidTr="00480F95">
        <w:trPr>
          <w:trHeight w:val="191"/>
        </w:trPr>
        <w:tc>
          <w:tcPr>
            <w:tcW w:w="1791"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sidRPr="000910EF">
              <w:rPr>
                <w:rFonts w:ascii="Times New Roman" w:eastAsia="Times New Roman" w:hAnsi="Times New Roman" w:cs="Times New Roman"/>
                <w:sz w:val="28"/>
                <w:szCs w:val="28"/>
                <w:lang w:eastAsia="ru-RU"/>
              </w:rPr>
              <w:t>за 5 міс. 2018 р.</w:t>
            </w:r>
          </w:p>
        </w:tc>
        <w:tc>
          <w:tcPr>
            <w:tcW w:w="2139" w:type="dxa"/>
          </w:tcPr>
          <w:p w:rsidR="007D2056"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93,3</w:t>
            </w:r>
          </w:p>
        </w:tc>
        <w:tc>
          <w:tcPr>
            <w:tcW w:w="2693"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17446,7</w:t>
            </w:r>
          </w:p>
        </w:tc>
        <w:tc>
          <w:tcPr>
            <w:tcW w:w="3119" w:type="dxa"/>
          </w:tcPr>
          <w:p w:rsidR="007D2056" w:rsidRPr="000910EF" w:rsidRDefault="007D2056" w:rsidP="00480F95">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62667,5</w:t>
            </w:r>
          </w:p>
        </w:tc>
      </w:tr>
    </w:tbl>
    <w:p w:rsidR="000854E9" w:rsidRPr="000854E9" w:rsidRDefault="000854E9" w:rsidP="000854E9">
      <w:pPr>
        <w:tabs>
          <w:tab w:val="left" w:pos="12380"/>
        </w:tabs>
        <w:spacing w:after="0" w:line="240" w:lineRule="auto"/>
        <w:jc w:val="center"/>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ab/>
      </w:r>
      <w:r w:rsidRPr="000854E9">
        <w:rPr>
          <w:rFonts w:ascii="Times New Roman" w:eastAsia="Times New Roman" w:hAnsi="Times New Roman" w:cs="Times New Roman"/>
          <w:sz w:val="28"/>
          <w:szCs w:val="28"/>
          <w:lang w:eastAsia="ru-RU"/>
        </w:rPr>
        <w:tab/>
        <w:t xml:space="preserve">                        тис. грн.</w:t>
      </w:r>
    </w:p>
    <w:p w:rsidR="000854E9" w:rsidRPr="000854E9" w:rsidRDefault="000854E9" w:rsidP="007F163B">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9. Оцінка результатів реалізації регуляторного акта та ступеня досягнення визначених цілей</w:t>
      </w:r>
    </w:p>
    <w:p w:rsidR="000854E9" w:rsidRPr="000854E9" w:rsidRDefault="000854E9" w:rsidP="007F163B">
      <w:pPr>
        <w:spacing w:after="0" w:line="240" w:lineRule="auto"/>
        <w:jc w:val="both"/>
        <w:rPr>
          <w:rFonts w:ascii="Times New Roman" w:eastAsia="Times New Roman" w:hAnsi="Times New Roman" w:cs="Times New Roman"/>
          <w:sz w:val="28"/>
          <w:szCs w:val="24"/>
          <w:lang w:eastAsia="ru-RU"/>
        </w:rPr>
      </w:pPr>
      <w:r w:rsidRPr="000854E9">
        <w:rPr>
          <w:rFonts w:ascii="Times New Roman" w:eastAsia="Times New Roman" w:hAnsi="Times New Roman" w:cs="Times New Roman"/>
          <w:sz w:val="28"/>
          <w:szCs w:val="24"/>
          <w:lang w:eastAsia="ru-RU"/>
        </w:rPr>
        <w:tab/>
        <w:t>Цілі, поставлені прийняттям регуляторного акту, досягнуто, а саме:</w:t>
      </w:r>
    </w:p>
    <w:p w:rsidR="000854E9" w:rsidRPr="000854E9" w:rsidRDefault="000854E9" w:rsidP="007F163B">
      <w:pPr>
        <w:spacing w:after="0" w:line="240" w:lineRule="auto"/>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bCs/>
          <w:sz w:val="28"/>
          <w:szCs w:val="28"/>
          <w:lang w:eastAsia="ru-RU"/>
        </w:rPr>
        <w:t xml:space="preserve">- Положення приведено у відповідність до </w:t>
      </w:r>
      <w:r w:rsidR="007D2056" w:rsidRPr="007D2056">
        <w:rPr>
          <w:rFonts w:ascii="Times New Roman" w:eastAsia="Times New Roman" w:hAnsi="Times New Roman" w:cs="Times New Roman"/>
          <w:bCs/>
          <w:sz w:val="28"/>
          <w:szCs w:val="28"/>
          <w:lang w:eastAsia="ru-RU"/>
        </w:rPr>
        <w:t>розділу XIV  Податкового кодексу України</w:t>
      </w:r>
      <w:r w:rsidRPr="000854E9">
        <w:rPr>
          <w:rFonts w:ascii="Times New Roman" w:eastAsia="Times New Roman" w:hAnsi="Times New Roman" w:cs="Times New Roman"/>
          <w:sz w:val="28"/>
          <w:szCs w:val="28"/>
          <w:lang w:eastAsia="ru-RU"/>
        </w:rPr>
        <w:t>;</w:t>
      </w:r>
    </w:p>
    <w:p w:rsidR="000854E9" w:rsidRDefault="000854E9" w:rsidP="000854E9">
      <w:pPr>
        <w:spacing w:after="0" w:line="240" w:lineRule="auto"/>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bCs/>
          <w:sz w:val="28"/>
          <w:szCs w:val="28"/>
          <w:lang w:eastAsia="ru-RU"/>
        </w:rPr>
        <w:t>- в</w:t>
      </w:r>
      <w:r w:rsidRPr="000854E9">
        <w:rPr>
          <w:rFonts w:ascii="Times New Roman" w:eastAsia="Times New Roman" w:hAnsi="Times New Roman" w:cs="Times New Roman"/>
          <w:sz w:val="28"/>
          <w:szCs w:val="28"/>
          <w:lang w:eastAsia="ru-RU"/>
        </w:rPr>
        <w:t xml:space="preserve">порядковано сплату єдиного податку суб’єктами підприємництва, які працюють на спрощеній системі оподаткування;  </w:t>
      </w:r>
    </w:p>
    <w:p w:rsidR="000854E9" w:rsidRPr="007F163B" w:rsidRDefault="00C31627" w:rsidP="00C31627">
      <w:pPr>
        <w:spacing w:after="0" w:line="240" w:lineRule="auto"/>
        <w:jc w:val="both"/>
        <w:rPr>
          <w:rFonts w:ascii="Times New Roman" w:eastAsia="Times New Roman" w:hAnsi="Times New Roman" w:cs="Times New Roman"/>
          <w:bCs/>
          <w:sz w:val="28"/>
          <w:szCs w:val="28"/>
          <w:lang w:eastAsia="ru-RU"/>
        </w:rPr>
      </w:pPr>
      <w:r w:rsidRPr="007F163B">
        <w:rPr>
          <w:rFonts w:ascii="Times New Roman" w:eastAsia="Times New Roman" w:hAnsi="Times New Roman" w:cs="Times New Roman"/>
          <w:sz w:val="28"/>
          <w:szCs w:val="28"/>
          <w:lang w:eastAsia="ru-RU"/>
        </w:rPr>
        <w:t>- станом на 01.06.2018</w:t>
      </w:r>
      <w:r w:rsidRPr="007F163B">
        <w:rPr>
          <w:rFonts w:ascii="Times New Roman" w:hAnsi="Times New Roman" w:cs="Times New Roman"/>
          <w:sz w:val="28"/>
          <w:szCs w:val="28"/>
        </w:rPr>
        <w:t xml:space="preserve"> року надходження єдиного податку до міського  бюджету склало 80,2 млн. грн. (з юридичних осіб – 17,4 млн. грн., з фізичних осіб-підприємців – 62,7 млн. грн., з сільськогосподарських товаровиробників – 0,09 млн. грн.), що більше чим за аналогічний період минулого року на 10,8 млн. грн.</w:t>
      </w:r>
      <w:r w:rsidR="007F163B">
        <w:rPr>
          <w:rFonts w:ascii="Times New Roman" w:hAnsi="Times New Roman" w:cs="Times New Roman"/>
          <w:sz w:val="28"/>
          <w:szCs w:val="28"/>
        </w:rPr>
        <w:t xml:space="preserve"> </w:t>
      </w:r>
      <w:r w:rsidRPr="007F163B">
        <w:rPr>
          <w:rFonts w:ascii="Times New Roman" w:hAnsi="Times New Roman" w:cs="Times New Roman"/>
          <w:sz w:val="28"/>
          <w:szCs w:val="28"/>
        </w:rPr>
        <w:t>Станом на 01.06.2017 року відповідні надходження</w:t>
      </w:r>
      <w:r w:rsidR="007F163B">
        <w:rPr>
          <w:rFonts w:ascii="Times New Roman" w:hAnsi="Times New Roman" w:cs="Times New Roman"/>
          <w:sz w:val="28"/>
          <w:szCs w:val="28"/>
        </w:rPr>
        <w:t xml:space="preserve"> до міського бюджету</w:t>
      </w:r>
      <w:r w:rsidRPr="007F163B">
        <w:rPr>
          <w:rFonts w:ascii="Times New Roman" w:hAnsi="Times New Roman" w:cs="Times New Roman"/>
          <w:sz w:val="28"/>
          <w:szCs w:val="28"/>
        </w:rPr>
        <w:t xml:space="preserve"> склали: всього 69,4 млн. грн.</w:t>
      </w:r>
      <w:r w:rsidR="007F163B">
        <w:rPr>
          <w:rFonts w:ascii="Times New Roman" w:hAnsi="Times New Roman" w:cs="Times New Roman"/>
          <w:sz w:val="28"/>
          <w:szCs w:val="28"/>
        </w:rPr>
        <w:t>,</w:t>
      </w:r>
      <w:r w:rsidRPr="007F163B">
        <w:rPr>
          <w:rFonts w:ascii="Times New Roman" w:hAnsi="Times New Roman" w:cs="Times New Roman"/>
          <w:sz w:val="28"/>
          <w:szCs w:val="28"/>
        </w:rPr>
        <w:t xml:space="preserve"> </w:t>
      </w:r>
      <w:r w:rsidR="007F163B">
        <w:rPr>
          <w:rFonts w:ascii="Times New Roman" w:hAnsi="Times New Roman" w:cs="Times New Roman"/>
          <w:sz w:val="28"/>
          <w:szCs w:val="28"/>
        </w:rPr>
        <w:t xml:space="preserve">у том числі, </w:t>
      </w:r>
      <w:r w:rsidRPr="007F163B">
        <w:rPr>
          <w:rFonts w:ascii="Times New Roman" w:hAnsi="Times New Roman" w:cs="Times New Roman"/>
          <w:sz w:val="28"/>
          <w:szCs w:val="28"/>
        </w:rPr>
        <w:t xml:space="preserve">з юридичних осіб – 15,3 млн. грн., з фізичних осіб-підприємців – 54,0 млн. грн., з сільськогосподарських товаровиробників – 0,07 млн. грн. </w:t>
      </w: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p>
    <w:p w:rsidR="007F163B" w:rsidRDefault="007F163B" w:rsidP="000854E9">
      <w:pPr>
        <w:spacing w:after="0" w:line="240" w:lineRule="auto"/>
        <w:rPr>
          <w:rFonts w:ascii="Times New Roman" w:eastAsia="Times New Roman" w:hAnsi="Times New Roman" w:cs="Times New Roman"/>
          <w:b/>
          <w:bCs/>
          <w:sz w:val="28"/>
          <w:szCs w:val="28"/>
          <w:lang w:eastAsia="ru-RU"/>
        </w:rPr>
      </w:pPr>
    </w:p>
    <w:p w:rsidR="007F163B" w:rsidRDefault="007F163B" w:rsidP="000854E9">
      <w:pPr>
        <w:spacing w:after="0" w:line="240" w:lineRule="auto"/>
        <w:rPr>
          <w:rFonts w:ascii="Times New Roman" w:eastAsia="Times New Roman" w:hAnsi="Times New Roman" w:cs="Times New Roman"/>
          <w:b/>
          <w:bCs/>
          <w:sz w:val="28"/>
          <w:szCs w:val="28"/>
          <w:lang w:eastAsia="ru-RU"/>
        </w:rPr>
      </w:pPr>
    </w:p>
    <w:p w:rsidR="007F163B" w:rsidRDefault="007F163B" w:rsidP="000854E9">
      <w:pPr>
        <w:spacing w:after="0" w:line="240" w:lineRule="auto"/>
        <w:rPr>
          <w:rFonts w:ascii="Times New Roman" w:eastAsia="Times New Roman" w:hAnsi="Times New Roman" w:cs="Times New Roman"/>
          <w:b/>
          <w:bCs/>
          <w:sz w:val="28"/>
          <w:szCs w:val="28"/>
          <w:lang w:eastAsia="ru-RU"/>
        </w:rPr>
      </w:pPr>
    </w:p>
    <w:p w:rsidR="000854E9" w:rsidRPr="000854E9" w:rsidRDefault="007F163B" w:rsidP="000854E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Перший заступник </w:t>
      </w:r>
      <w:r w:rsidR="000854E9" w:rsidRPr="000854E9">
        <w:rPr>
          <w:rFonts w:ascii="Times New Roman" w:eastAsia="Times New Roman" w:hAnsi="Times New Roman" w:cs="Times New Roman"/>
          <w:b/>
          <w:bCs/>
          <w:sz w:val="28"/>
          <w:szCs w:val="28"/>
          <w:lang w:eastAsia="ru-RU"/>
        </w:rPr>
        <w:t>міського голови</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0854E9" w:rsidRPr="000854E9">
        <w:rPr>
          <w:rFonts w:ascii="Times New Roman" w:eastAsia="Times New Roman" w:hAnsi="Times New Roman" w:cs="Times New Roman"/>
          <w:b/>
          <w:bCs/>
          <w:sz w:val="28"/>
          <w:szCs w:val="28"/>
          <w:lang w:eastAsia="ru-RU"/>
        </w:rPr>
        <w:t xml:space="preserve">В.В. Войтенко </w:t>
      </w:r>
    </w:p>
    <w:p w:rsidR="000854E9" w:rsidRPr="000854E9" w:rsidRDefault="000854E9" w:rsidP="000854E9">
      <w:pPr>
        <w:spacing w:after="0" w:line="240" w:lineRule="auto"/>
        <w:rPr>
          <w:rFonts w:ascii="Times New Roman" w:eastAsia="Times New Roman" w:hAnsi="Times New Roman" w:cs="Times New Roman"/>
          <w:b/>
          <w:bCs/>
          <w:sz w:val="28"/>
          <w:szCs w:val="28"/>
          <w:lang w:eastAsia="ru-RU"/>
        </w:rPr>
      </w:pPr>
    </w:p>
    <w:p w:rsidR="000854E9" w:rsidRPr="000854E9" w:rsidRDefault="000854E9" w:rsidP="000854E9">
      <w:pPr>
        <w:spacing w:after="0" w:line="240" w:lineRule="auto"/>
        <w:rPr>
          <w:rFonts w:ascii="Times New Roman" w:eastAsia="Times New Roman" w:hAnsi="Times New Roman" w:cs="Times New Roman"/>
          <w:bCs/>
          <w:sz w:val="24"/>
          <w:szCs w:val="24"/>
          <w:lang w:eastAsia="ru-RU"/>
        </w:rPr>
      </w:pPr>
    </w:p>
    <w:p w:rsidR="000854E9" w:rsidRPr="000854E9" w:rsidRDefault="000854E9" w:rsidP="000854E9">
      <w:pPr>
        <w:spacing w:after="0" w:line="240" w:lineRule="auto"/>
        <w:rPr>
          <w:rFonts w:ascii="Times New Roman" w:eastAsia="Times New Roman" w:hAnsi="Times New Roman" w:cs="Times New Roman"/>
          <w:bCs/>
          <w:sz w:val="24"/>
          <w:szCs w:val="24"/>
          <w:lang w:eastAsia="ru-RU"/>
        </w:rPr>
      </w:pPr>
    </w:p>
    <w:p w:rsidR="000854E9" w:rsidRPr="000854E9" w:rsidRDefault="000854E9" w:rsidP="000854E9">
      <w:pPr>
        <w:spacing w:after="0" w:line="240" w:lineRule="auto"/>
        <w:rPr>
          <w:rFonts w:ascii="Times New Roman" w:eastAsia="Times New Roman" w:hAnsi="Times New Roman" w:cs="Times New Roman"/>
          <w:bCs/>
          <w:sz w:val="24"/>
          <w:szCs w:val="24"/>
          <w:lang w:eastAsia="ru-RU"/>
        </w:rPr>
      </w:pPr>
      <w:r w:rsidRPr="000854E9">
        <w:rPr>
          <w:rFonts w:ascii="Times New Roman" w:eastAsia="Times New Roman" w:hAnsi="Times New Roman" w:cs="Times New Roman"/>
          <w:bCs/>
          <w:sz w:val="24"/>
          <w:szCs w:val="24"/>
          <w:lang w:eastAsia="ru-RU"/>
        </w:rPr>
        <w:t>Клименко 700 404</w:t>
      </w:r>
    </w:p>
    <w:p w:rsidR="000854E9" w:rsidRPr="000854E9" w:rsidRDefault="000854E9" w:rsidP="000854E9">
      <w:pPr>
        <w:spacing w:after="0" w:line="240" w:lineRule="auto"/>
        <w:rPr>
          <w:rFonts w:ascii="Times New Roman" w:eastAsia="Times New Roman" w:hAnsi="Times New Roman" w:cs="Times New Roman"/>
          <w:bCs/>
          <w:sz w:val="24"/>
          <w:szCs w:val="24"/>
          <w:lang w:eastAsia="ru-RU"/>
        </w:rPr>
      </w:pPr>
      <w:r w:rsidRPr="000854E9">
        <w:rPr>
          <w:rFonts w:ascii="Times New Roman" w:eastAsia="Times New Roman" w:hAnsi="Times New Roman" w:cs="Times New Roman"/>
          <w:bCs/>
          <w:sz w:val="24"/>
          <w:szCs w:val="24"/>
          <w:lang w:eastAsia="ru-RU"/>
        </w:rPr>
        <w:t xml:space="preserve">Боженко 700 </w:t>
      </w:r>
      <w:r w:rsidR="007F163B">
        <w:rPr>
          <w:rFonts w:ascii="Times New Roman" w:eastAsia="Times New Roman" w:hAnsi="Times New Roman" w:cs="Times New Roman"/>
          <w:bCs/>
          <w:sz w:val="24"/>
          <w:szCs w:val="24"/>
          <w:lang w:eastAsia="ru-RU"/>
        </w:rPr>
        <w:t>139</w:t>
      </w:r>
    </w:p>
    <w:p w:rsidR="00E31029" w:rsidRDefault="00E31029"/>
    <w:p w:rsidR="007F163B" w:rsidRDefault="007F163B"/>
    <w:sectPr w:rsidR="007F163B" w:rsidSect="009E5F8B">
      <w:pgSz w:w="11906" w:h="16838"/>
      <w:pgMar w:top="1134" w:right="567" w:bottom="1134" w:left="1701" w:header="720" w:footer="720" w:gutter="0"/>
      <w:cols w:space="708"/>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12"/>
    <w:rsid w:val="000854E9"/>
    <w:rsid w:val="004038EA"/>
    <w:rsid w:val="00455BE8"/>
    <w:rsid w:val="004A7891"/>
    <w:rsid w:val="007D2056"/>
    <w:rsid w:val="007F163B"/>
    <w:rsid w:val="00C31627"/>
    <w:rsid w:val="00D50D69"/>
    <w:rsid w:val="00E31029"/>
    <w:rsid w:val="00EA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388A-14C8-4DA0-9444-5CD8DDC2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4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Гулякін Руслан Олександрович</cp:lastModifiedBy>
  <cp:revision>2</cp:revision>
  <cp:lastPrinted>2018-06-22T08:00:00Z</cp:lastPrinted>
  <dcterms:created xsi:type="dcterms:W3CDTF">2018-07-03T06:49:00Z</dcterms:created>
  <dcterms:modified xsi:type="dcterms:W3CDTF">2018-07-03T06:49:00Z</dcterms:modified>
</cp:coreProperties>
</file>