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B76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4C3789">
        <w:rPr>
          <w:b/>
          <w:sz w:val="28"/>
          <w:szCs w:val="28"/>
          <w:lang w:val="uk-UA"/>
        </w:rPr>
        <w:t>08</w:t>
      </w:r>
      <w:r w:rsidR="00421B45">
        <w:rPr>
          <w:b/>
          <w:sz w:val="28"/>
          <w:szCs w:val="28"/>
          <w:lang w:val="uk-UA"/>
        </w:rPr>
        <w:t xml:space="preserve"> </w:t>
      </w:r>
      <w:r w:rsidR="004C3789">
        <w:rPr>
          <w:b/>
          <w:sz w:val="28"/>
          <w:szCs w:val="28"/>
          <w:lang w:val="uk-UA"/>
        </w:rPr>
        <w:t>липня</w:t>
      </w:r>
      <w:r w:rsidR="00AF2103">
        <w:rPr>
          <w:b/>
          <w:sz w:val="28"/>
          <w:szCs w:val="28"/>
          <w:lang w:val="uk-UA"/>
        </w:rPr>
        <w:t xml:space="preserve"> </w:t>
      </w:r>
      <w:r w:rsidR="00421B45">
        <w:rPr>
          <w:b/>
          <w:sz w:val="28"/>
          <w:szCs w:val="28"/>
          <w:lang w:val="uk-UA"/>
        </w:rPr>
        <w:t>201</w:t>
      </w:r>
      <w:r w:rsidR="004C3789">
        <w:rPr>
          <w:b/>
          <w:sz w:val="28"/>
          <w:szCs w:val="28"/>
          <w:lang w:val="uk-UA"/>
        </w:rPr>
        <w:t>5</w:t>
      </w:r>
      <w:r w:rsidR="00421B45">
        <w:rPr>
          <w:b/>
          <w:sz w:val="28"/>
          <w:szCs w:val="28"/>
          <w:lang w:val="uk-UA"/>
        </w:rPr>
        <w:t xml:space="preserve"> року № </w:t>
      </w:r>
      <w:r w:rsidR="004C3789">
        <w:rPr>
          <w:b/>
          <w:sz w:val="28"/>
          <w:szCs w:val="28"/>
          <w:lang w:val="uk-UA"/>
        </w:rPr>
        <w:t>4562</w:t>
      </w:r>
      <w:r w:rsidR="00421B45">
        <w:rPr>
          <w:b/>
          <w:sz w:val="28"/>
          <w:szCs w:val="28"/>
          <w:lang w:val="uk-UA"/>
        </w:rPr>
        <w:t>-МР</w:t>
      </w:r>
      <w:r w:rsidR="00B761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214332">
        <w:rPr>
          <w:b/>
          <w:sz w:val="28"/>
          <w:szCs w:val="28"/>
          <w:lang w:val="uk-UA"/>
        </w:rPr>
        <w:t>Про встановлення плати за землю на території міста Суми».</w:t>
      </w:r>
    </w:p>
    <w:p w:rsidR="005A60E4" w:rsidRDefault="005A60E4" w:rsidP="00B761BD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4C3789">
        <w:rPr>
          <w:sz w:val="28"/>
          <w:szCs w:val="28"/>
          <w:lang w:val="uk-UA"/>
        </w:rPr>
        <w:t>08</w:t>
      </w:r>
      <w:r w:rsidR="00D53738" w:rsidRPr="00D53738">
        <w:rPr>
          <w:sz w:val="28"/>
          <w:szCs w:val="28"/>
          <w:lang w:val="uk-UA"/>
        </w:rPr>
        <w:t xml:space="preserve"> </w:t>
      </w:r>
      <w:r w:rsidR="004C3789">
        <w:rPr>
          <w:sz w:val="28"/>
          <w:szCs w:val="28"/>
          <w:lang w:val="uk-UA"/>
        </w:rPr>
        <w:t>липня</w:t>
      </w:r>
      <w:r w:rsidR="00AF2103"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>201</w:t>
      </w:r>
      <w:r w:rsidR="004C3789">
        <w:rPr>
          <w:sz w:val="28"/>
          <w:szCs w:val="28"/>
          <w:lang w:val="uk-UA"/>
        </w:rPr>
        <w:t>5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4C3789">
        <w:rPr>
          <w:sz w:val="28"/>
          <w:szCs w:val="28"/>
          <w:lang w:val="uk-UA"/>
        </w:rPr>
        <w:t>4562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>«</w:t>
      </w:r>
      <w:r w:rsidR="00214332">
        <w:rPr>
          <w:sz w:val="28"/>
          <w:szCs w:val="28"/>
          <w:lang w:val="uk-UA"/>
        </w:rPr>
        <w:t>Про встановлення плати за землю на території міста Суми»</w:t>
      </w:r>
      <w:r w:rsidR="004C3789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AF2103" w:rsidRDefault="00764B93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AF2103"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B52494" w:rsidRPr="00AF2103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B52494" w:rsidRPr="00AF2103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 xml:space="preserve">- відкритість процедури, прозорість дій органу місцевого самоврядування при  вирішенні питань, пов'язаних зі справлянням </w:t>
      </w:r>
      <w:r w:rsidR="00C674AE">
        <w:rPr>
          <w:sz w:val="28"/>
          <w:szCs w:val="28"/>
          <w:lang w:val="uk-UA"/>
        </w:rPr>
        <w:t>плати за землю</w:t>
      </w:r>
      <w:r w:rsidRPr="00AF2103">
        <w:rPr>
          <w:sz w:val="28"/>
          <w:szCs w:val="28"/>
          <w:lang w:val="uk-UA"/>
        </w:rPr>
        <w:t>;</w:t>
      </w:r>
    </w:p>
    <w:p w:rsidR="00B52494" w:rsidRPr="00AF2103" w:rsidRDefault="000D4E33" w:rsidP="00B524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9041D">
        <w:rPr>
          <w:sz w:val="28"/>
          <w:szCs w:val="28"/>
          <w:lang w:val="uk-UA"/>
        </w:rPr>
        <w:t xml:space="preserve"> </w:t>
      </w:r>
      <w:r w:rsidR="00B52494" w:rsidRPr="00AF2103">
        <w:rPr>
          <w:sz w:val="28"/>
          <w:szCs w:val="28"/>
          <w:lang w:val="uk-UA"/>
        </w:rPr>
        <w:t>уточнення категорій платників земельного податку, яким надаватимуться пільги;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забезпечення умов для утримання об’єктів соціально-культурної сфери та благоустрою міста.</w:t>
      </w:r>
    </w:p>
    <w:p w:rsidR="00764B93" w:rsidRDefault="00764B93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Відстеження результативності цього регуляторного акт</w:t>
      </w:r>
      <w:r w:rsidR="00AF21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0D4E33">
        <w:rPr>
          <w:sz w:val="28"/>
          <w:szCs w:val="28"/>
          <w:lang w:val="uk-UA"/>
        </w:rPr>
        <w:t xml:space="preserve">01.01.2016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D4E33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0D4E3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.2016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базове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акта</w:t>
      </w:r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Базове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0D4E33">
        <w:rPr>
          <w:sz w:val="28"/>
          <w:szCs w:val="28"/>
          <w:lang w:val="uk-UA"/>
        </w:rPr>
        <w:t>08</w:t>
      </w:r>
      <w:r w:rsidR="00D53738" w:rsidRPr="00D53738">
        <w:rPr>
          <w:sz w:val="28"/>
          <w:szCs w:val="28"/>
          <w:lang w:val="uk-UA"/>
        </w:rPr>
        <w:t xml:space="preserve"> </w:t>
      </w:r>
      <w:r w:rsidR="000D4E33">
        <w:rPr>
          <w:sz w:val="28"/>
          <w:szCs w:val="28"/>
          <w:lang w:val="uk-UA"/>
        </w:rPr>
        <w:t>липня</w:t>
      </w:r>
      <w:r w:rsidR="00AF2103"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>201</w:t>
      </w:r>
      <w:r w:rsidR="000D4E33">
        <w:rPr>
          <w:sz w:val="28"/>
          <w:szCs w:val="28"/>
          <w:lang w:val="uk-UA"/>
        </w:rPr>
        <w:t>5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0D4E33">
        <w:rPr>
          <w:sz w:val="28"/>
          <w:szCs w:val="28"/>
          <w:lang w:val="uk-UA"/>
        </w:rPr>
        <w:t>4562</w:t>
      </w:r>
      <w:r w:rsidR="00D53738" w:rsidRPr="00D53738">
        <w:rPr>
          <w:sz w:val="28"/>
          <w:szCs w:val="28"/>
          <w:lang w:val="uk-UA"/>
        </w:rPr>
        <w:t xml:space="preserve">-МР </w:t>
      </w:r>
      <w:r w:rsidR="00D5373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>«</w:t>
      </w:r>
      <w:r w:rsidR="005A2AA0" w:rsidRPr="006423E0">
        <w:rPr>
          <w:sz w:val="28"/>
          <w:szCs w:val="28"/>
          <w:lang w:val="uk-UA"/>
        </w:rPr>
        <w:t xml:space="preserve">Про встановлення плати за землю на території міста Суми» </w:t>
      </w:r>
      <w:r w:rsidRPr="006423E0">
        <w:rPr>
          <w:sz w:val="28"/>
          <w:szCs w:val="28"/>
          <w:lang w:val="uk-UA"/>
        </w:rPr>
        <w:t xml:space="preserve">здійснювалося шляхом аналізу </w:t>
      </w:r>
      <w:r w:rsidR="00965FD8" w:rsidRPr="006423E0">
        <w:rPr>
          <w:sz w:val="28"/>
          <w:szCs w:val="28"/>
          <w:lang w:val="uk-UA"/>
        </w:rPr>
        <w:t>даних Державної податкової інспекції у м. Сумах</w:t>
      </w:r>
      <w:r w:rsidR="006423E0" w:rsidRPr="006423E0">
        <w:rPr>
          <w:sz w:val="28"/>
          <w:szCs w:val="28"/>
          <w:lang w:val="uk-UA"/>
        </w:rPr>
        <w:t xml:space="preserve"> </w:t>
      </w:r>
      <w:r w:rsidR="00BD17AC">
        <w:rPr>
          <w:sz w:val="28"/>
          <w:szCs w:val="28"/>
          <w:lang w:val="uk-UA"/>
        </w:rPr>
        <w:t xml:space="preserve">щодо </w:t>
      </w:r>
      <w:r w:rsidR="00086DC6">
        <w:rPr>
          <w:sz w:val="28"/>
          <w:szCs w:val="28"/>
          <w:lang w:val="uk-UA"/>
        </w:rPr>
        <w:t xml:space="preserve">динаміки надходжень до бюджету земельного податку та орендної плати за землю,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086DC6">
        <w:rPr>
          <w:sz w:val="28"/>
          <w:szCs w:val="28"/>
          <w:lang w:val="uk-UA"/>
        </w:rPr>
        <w:t xml:space="preserve">показників збалансованості податкового навантаження на різні верстви суб’єктів господарювання,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</w:t>
      </w:r>
      <w:r w:rsidR="005A60E4" w:rsidRPr="005A60E4">
        <w:rPr>
          <w:sz w:val="28"/>
          <w:szCs w:val="28"/>
          <w:lang w:val="uk-UA"/>
        </w:rPr>
        <w:lastRenderedPageBreak/>
        <w:t>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086DC6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86DC6" w:rsidRDefault="00086DC6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96"/>
        <w:gridCol w:w="3533"/>
        <w:gridCol w:w="1866"/>
        <w:gridCol w:w="1616"/>
        <w:gridCol w:w="1561"/>
      </w:tblGrid>
      <w:tr w:rsidR="00CE4F61" w:rsidTr="00CE4F61">
        <w:trPr>
          <w:trHeight w:val="564"/>
        </w:trPr>
        <w:tc>
          <w:tcPr>
            <w:tcW w:w="696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3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866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16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61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Різниця +/-</w:t>
            </w:r>
          </w:p>
        </w:tc>
      </w:tr>
      <w:tr w:rsidR="00F30755" w:rsidTr="00CE4F61">
        <w:trPr>
          <w:trHeight w:val="564"/>
        </w:trPr>
        <w:tc>
          <w:tcPr>
            <w:tcW w:w="696" w:type="dxa"/>
            <w:vAlign w:val="center"/>
          </w:tcPr>
          <w:p w:rsidR="00F30755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3" w:type="dxa"/>
            <w:vAlign w:val="center"/>
          </w:tcPr>
          <w:p w:rsidR="00F30755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платників плати за землю</w:t>
            </w:r>
          </w:p>
        </w:tc>
        <w:tc>
          <w:tcPr>
            <w:tcW w:w="1866" w:type="dxa"/>
            <w:vAlign w:val="center"/>
          </w:tcPr>
          <w:p w:rsidR="00F30755" w:rsidRDefault="00430BE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1532</w:t>
            </w:r>
          </w:p>
        </w:tc>
        <w:tc>
          <w:tcPr>
            <w:tcW w:w="1616" w:type="dxa"/>
            <w:vAlign w:val="center"/>
          </w:tcPr>
          <w:p w:rsidR="00F30755" w:rsidRDefault="00430BE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1516</w:t>
            </w:r>
          </w:p>
        </w:tc>
        <w:tc>
          <w:tcPr>
            <w:tcW w:w="1561" w:type="dxa"/>
            <w:vAlign w:val="center"/>
          </w:tcPr>
          <w:p w:rsidR="00F30755" w:rsidRDefault="00430BE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+ 16</w:t>
            </w:r>
          </w:p>
        </w:tc>
      </w:tr>
      <w:tr w:rsidR="00CE4F61" w:rsidTr="00CE4F61">
        <w:tc>
          <w:tcPr>
            <w:tcW w:w="696" w:type="dxa"/>
            <w:vAlign w:val="center"/>
          </w:tcPr>
          <w:p w:rsidR="00CE4F61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3" w:type="dxa"/>
            <w:vAlign w:val="center"/>
          </w:tcPr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плати за землю</w:t>
            </w:r>
          </w:p>
        </w:tc>
        <w:tc>
          <w:tcPr>
            <w:tcW w:w="1866" w:type="dxa"/>
            <w:vAlign w:val="center"/>
          </w:tcPr>
          <w:p w:rsidR="00CE4F61" w:rsidRPr="00965FD8" w:rsidRDefault="00CE4F61" w:rsidP="00CE4F6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151 116,4</w:t>
            </w:r>
            <w:r w:rsidRPr="00857FC4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1616" w:type="dxa"/>
            <w:vAlign w:val="center"/>
          </w:tcPr>
          <w:p w:rsidR="00CE4F61" w:rsidRPr="00857FC4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96 788,2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1" w:type="dxa"/>
            <w:vAlign w:val="center"/>
          </w:tcPr>
          <w:p w:rsidR="00CE4F61" w:rsidRPr="00857FC4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+ 54 328,2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E4F61" w:rsidTr="00CE4F61">
        <w:tc>
          <w:tcPr>
            <w:tcW w:w="696" w:type="dxa"/>
            <w:vAlign w:val="center"/>
          </w:tcPr>
          <w:p w:rsidR="00CE4F61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3" w:type="dxa"/>
            <w:vAlign w:val="center"/>
          </w:tcPr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 xml:space="preserve">Кількість суб’єктів господарювання, </w:t>
            </w:r>
            <w:r w:rsidRPr="006423E0">
              <w:rPr>
                <w:sz w:val="28"/>
                <w:szCs w:val="28"/>
                <w:lang w:val="uk-UA"/>
              </w:rPr>
              <w:t>яким за рахунок коштів міського бюджету надано пільги</w:t>
            </w:r>
          </w:p>
        </w:tc>
        <w:tc>
          <w:tcPr>
            <w:tcW w:w="1866" w:type="dxa"/>
            <w:vAlign w:val="center"/>
          </w:tcPr>
          <w:p w:rsidR="00CE4F61" w:rsidRPr="00086DC6" w:rsidRDefault="00CE4F61" w:rsidP="00CE4F6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16" w:type="dxa"/>
            <w:vAlign w:val="center"/>
          </w:tcPr>
          <w:p w:rsidR="00CE4F61" w:rsidRPr="0035465C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1" w:type="dxa"/>
            <w:vAlign w:val="center"/>
          </w:tcPr>
          <w:p w:rsidR="00CE4F61" w:rsidRPr="0035465C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+ 1</w:t>
            </w:r>
          </w:p>
        </w:tc>
      </w:tr>
      <w:tr w:rsidR="00CE4F61" w:rsidTr="00CE4F61">
        <w:tc>
          <w:tcPr>
            <w:tcW w:w="696" w:type="dxa"/>
            <w:vAlign w:val="center"/>
          </w:tcPr>
          <w:p w:rsidR="00CE4F61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3" w:type="dxa"/>
            <w:vAlign w:val="center"/>
          </w:tcPr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Сума наданих пільг зі сплати земельного податку</w:t>
            </w:r>
          </w:p>
        </w:tc>
        <w:tc>
          <w:tcPr>
            <w:tcW w:w="1866" w:type="dxa"/>
            <w:vAlign w:val="center"/>
          </w:tcPr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13 611,3</w:t>
            </w:r>
            <w:r w:rsidRPr="003C38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38F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3C38F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6" w:type="dxa"/>
            <w:vAlign w:val="center"/>
          </w:tcPr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5 900,2   тис</w:t>
            </w:r>
          </w:p>
        </w:tc>
        <w:tc>
          <w:tcPr>
            <w:tcW w:w="1561" w:type="dxa"/>
            <w:vAlign w:val="center"/>
          </w:tcPr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+ 7711,1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B761BD">
        <w:rPr>
          <w:b/>
          <w:iCs/>
          <w:color w:val="000000"/>
          <w:sz w:val="28"/>
          <w:szCs w:val="28"/>
          <w:lang w:val="uk-UA"/>
        </w:rPr>
        <w:t xml:space="preserve">визначення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67012B" w:rsidRDefault="00764B93" w:rsidP="008B0E6C">
      <w:pPr>
        <w:jc w:val="both"/>
        <w:rPr>
          <w:sz w:val="28"/>
          <w:szCs w:val="28"/>
          <w:lang w:val="uk-UA" w:bidi="th-TH"/>
        </w:rPr>
      </w:pPr>
      <w:r>
        <w:rPr>
          <w:sz w:val="28"/>
          <w:szCs w:val="28"/>
          <w:lang w:val="uk-UA"/>
        </w:rPr>
        <w:t xml:space="preserve">         Да</w:t>
      </w:r>
      <w:r w:rsidR="008B0E6C">
        <w:rPr>
          <w:sz w:val="28"/>
          <w:szCs w:val="28"/>
          <w:lang w:val="uk-UA"/>
        </w:rPr>
        <w:t>ний регуляторний акт</w:t>
      </w:r>
      <w:r w:rsidR="0067012B">
        <w:rPr>
          <w:sz w:val="28"/>
          <w:szCs w:val="28"/>
          <w:lang w:val="uk-UA"/>
        </w:rPr>
        <w:t xml:space="preserve">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35465C">
        <w:rPr>
          <w:sz w:val="28"/>
          <w:szCs w:val="28"/>
          <w:lang w:val="uk-UA" w:bidi="th-TH"/>
        </w:rPr>
        <w:t>ає</w:t>
      </w:r>
      <w:r w:rsidR="0067012B">
        <w:rPr>
          <w:sz w:val="28"/>
          <w:szCs w:val="28"/>
          <w:lang w:val="uk-UA" w:bidi="th-TH"/>
        </w:rPr>
        <w:t xml:space="preserve"> платників земельного податку та орендної плати за землю, об’єкти та базу оподаткування, ставки</w:t>
      </w:r>
      <w:r w:rsidR="00C674AE">
        <w:rPr>
          <w:sz w:val="28"/>
          <w:szCs w:val="28"/>
          <w:lang w:val="uk-UA" w:bidi="th-TH"/>
        </w:rPr>
        <w:t xml:space="preserve"> земельного податку та розміри орендної плати за землю, пільги щодо сплати земельного податку для фізичних та юридичних осіб.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повторне відстеження результативності планується здійснити через 1 рік, але не пізніше 2-х років після набуття чинності регуляторним актом;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періодичне відстеження планується здійснити  один раз в три роки з дня виконання заходів повторного відстеження та кожні наступні 3 роки.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C674AE" w:rsidRDefault="00C674AE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Default="00764B93" w:rsidP="00764B93">
      <w:pPr>
        <w:rPr>
          <w:lang w:val="uk-UA"/>
        </w:rPr>
      </w:pPr>
    </w:p>
    <w:p w:rsidR="00430BE1" w:rsidRDefault="00430BE1" w:rsidP="00764B93">
      <w:pPr>
        <w:rPr>
          <w:lang w:val="uk-UA"/>
        </w:rPr>
      </w:pPr>
    </w:p>
    <w:p w:rsidR="001268A3" w:rsidRDefault="00D53738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Клименко Ю.М.</w:t>
      </w: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B761BD" w:rsidRPr="0059041D" w:rsidRDefault="00B761BD" w:rsidP="00D53738">
      <w:pPr>
        <w:jc w:val="both"/>
        <w:rPr>
          <w:bCs/>
          <w:i/>
          <w:lang w:val="uk-UA"/>
        </w:rPr>
      </w:pPr>
      <w:proofErr w:type="spellStart"/>
      <w:r w:rsidRPr="0059041D">
        <w:rPr>
          <w:bCs/>
          <w:i/>
          <w:lang w:val="uk-UA"/>
        </w:rPr>
        <w:t>Пейкова</w:t>
      </w:r>
      <w:proofErr w:type="spellEnd"/>
      <w:r w:rsidRPr="0059041D">
        <w:rPr>
          <w:bCs/>
          <w:i/>
          <w:lang w:val="uk-UA"/>
        </w:rPr>
        <w:t>, 700-428</w:t>
      </w:r>
    </w:p>
    <w:p w:rsidR="00B761BD" w:rsidRPr="0059041D" w:rsidRDefault="00B761BD" w:rsidP="00D53738">
      <w:pPr>
        <w:jc w:val="both"/>
        <w:rPr>
          <w:lang w:val="uk-UA"/>
        </w:rPr>
      </w:pPr>
      <w:r w:rsidRPr="0059041D">
        <w:rPr>
          <w:bCs/>
          <w:i/>
          <w:lang w:val="uk-UA"/>
        </w:rPr>
        <w:t>Яковенко, 700-428</w:t>
      </w:r>
    </w:p>
    <w:sectPr w:rsidR="00B761BD" w:rsidRPr="0059041D" w:rsidSect="0059041D">
      <w:pgSz w:w="11906" w:h="16838"/>
      <w:pgMar w:top="1134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26B77"/>
    <w:rsid w:val="000400A6"/>
    <w:rsid w:val="0008536B"/>
    <w:rsid w:val="00086DC6"/>
    <w:rsid w:val="000D4E33"/>
    <w:rsid w:val="001268A3"/>
    <w:rsid w:val="001B734F"/>
    <w:rsid w:val="00214332"/>
    <w:rsid w:val="002741BB"/>
    <w:rsid w:val="0035465C"/>
    <w:rsid w:val="00356CFB"/>
    <w:rsid w:val="003C38F1"/>
    <w:rsid w:val="00421B45"/>
    <w:rsid w:val="00430BE1"/>
    <w:rsid w:val="004C3789"/>
    <w:rsid w:val="0059041D"/>
    <w:rsid w:val="005A2AA0"/>
    <w:rsid w:val="005A60E4"/>
    <w:rsid w:val="006423E0"/>
    <w:rsid w:val="0067012B"/>
    <w:rsid w:val="006A2DFA"/>
    <w:rsid w:val="0073725E"/>
    <w:rsid w:val="00764B93"/>
    <w:rsid w:val="0079799A"/>
    <w:rsid w:val="008B0E6C"/>
    <w:rsid w:val="00965FD8"/>
    <w:rsid w:val="00AB2710"/>
    <w:rsid w:val="00AF2103"/>
    <w:rsid w:val="00B52494"/>
    <w:rsid w:val="00B761BD"/>
    <w:rsid w:val="00BD17AC"/>
    <w:rsid w:val="00C21DCF"/>
    <w:rsid w:val="00C674AE"/>
    <w:rsid w:val="00CE4F61"/>
    <w:rsid w:val="00D53738"/>
    <w:rsid w:val="00DE113C"/>
    <w:rsid w:val="00E43F06"/>
    <w:rsid w:val="00E5601F"/>
    <w:rsid w:val="00F14397"/>
    <w:rsid w:val="00F30755"/>
    <w:rsid w:val="00F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EA71-EE9A-4D40-BAF6-FFDED116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699A-E2DA-44EE-874B-921E6530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9</cp:revision>
  <cp:lastPrinted>2017-02-02T13:15:00Z</cp:lastPrinted>
  <dcterms:created xsi:type="dcterms:W3CDTF">2017-02-02T09:36:00Z</dcterms:created>
  <dcterms:modified xsi:type="dcterms:W3CDTF">2017-03-09T13:40:00Z</dcterms:modified>
</cp:coreProperties>
</file>