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9E5" w:rsidRPr="00511F3E" w:rsidRDefault="005219E5" w:rsidP="00511F3E">
      <w:pPr>
        <w:jc w:val="center"/>
        <w:rPr>
          <w:b/>
          <w:bCs/>
          <w:sz w:val="28"/>
          <w:szCs w:val="28"/>
        </w:rPr>
      </w:pPr>
      <w:bookmarkStart w:id="0" w:name="_GoBack"/>
      <w:bookmarkEnd w:id="0"/>
      <w:r w:rsidRPr="00511F3E">
        <w:rPr>
          <w:b/>
          <w:bCs/>
          <w:sz w:val="28"/>
          <w:szCs w:val="28"/>
          <w:lang w:val="uk-UA"/>
        </w:rPr>
        <w:t xml:space="preserve">Звіт </w:t>
      </w:r>
    </w:p>
    <w:p w:rsidR="005219E5" w:rsidRPr="005B5847" w:rsidRDefault="005219E5" w:rsidP="005B5847">
      <w:pPr>
        <w:pStyle w:val="1"/>
        <w:jc w:val="both"/>
        <w:rPr>
          <w:b/>
          <w:bCs/>
        </w:rPr>
      </w:pPr>
      <w:r>
        <w:rPr>
          <w:rStyle w:val="a4"/>
        </w:rPr>
        <w:t xml:space="preserve">про повторне відстеження результативності  регуляторного </w:t>
      </w:r>
      <w:proofErr w:type="spellStart"/>
      <w:r>
        <w:rPr>
          <w:rStyle w:val="a4"/>
        </w:rPr>
        <w:t>акта</w:t>
      </w:r>
      <w:proofErr w:type="spellEnd"/>
      <w:r>
        <w:rPr>
          <w:rStyle w:val="a4"/>
        </w:rPr>
        <w:t xml:space="preserve"> – </w:t>
      </w:r>
      <w:r w:rsidRPr="00EC49D1">
        <w:rPr>
          <w:b/>
          <w:bCs/>
        </w:rPr>
        <w:t>рішення Сумської міської ради від 02 грудня 2015 року № 21- МР «Про надання пільг у 2016 році платникам земельного податку»</w:t>
      </w:r>
    </w:p>
    <w:p w:rsidR="005219E5" w:rsidRPr="00511F3E" w:rsidRDefault="005219E5" w:rsidP="00511F3E">
      <w:pPr>
        <w:ind w:firstLine="708"/>
        <w:jc w:val="both"/>
        <w:rPr>
          <w:b/>
          <w:bCs/>
          <w:sz w:val="28"/>
          <w:szCs w:val="28"/>
          <w:lang w:val="uk-UA"/>
        </w:rPr>
      </w:pPr>
    </w:p>
    <w:p w:rsidR="005219E5" w:rsidRPr="00511F3E" w:rsidRDefault="005219E5" w:rsidP="00EC49D1">
      <w:pPr>
        <w:jc w:val="both"/>
        <w:rPr>
          <w:b/>
          <w:bCs/>
          <w:sz w:val="28"/>
          <w:szCs w:val="28"/>
          <w:lang w:val="uk-UA"/>
        </w:rPr>
      </w:pPr>
      <w:r w:rsidRPr="00511F3E">
        <w:rPr>
          <w:b/>
          <w:bCs/>
          <w:sz w:val="28"/>
          <w:szCs w:val="28"/>
          <w:lang w:val="uk-UA"/>
        </w:rPr>
        <w:t xml:space="preserve">1. Вид та назва регуляторного </w:t>
      </w:r>
      <w:proofErr w:type="spellStart"/>
      <w:r w:rsidRPr="00511F3E">
        <w:rPr>
          <w:b/>
          <w:bCs/>
          <w:sz w:val="28"/>
          <w:szCs w:val="28"/>
          <w:lang w:val="uk-UA"/>
        </w:rPr>
        <w:t>акта</w:t>
      </w:r>
      <w:proofErr w:type="spellEnd"/>
      <w:r w:rsidRPr="00511F3E">
        <w:rPr>
          <w:b/>
          <w:bCs/>
          <w:sz w:val="28"/>
          <w:szCs w:val="28"/>
          <w:lang w:val="uk-UA"/>
        </w:rPr>
        <w:t xml:space="preserve">: </w:t>
      </w:r>
    </w:p>
    <w:p w:rsidR="005219E5" w:rsidRPr="00EC49D1" w:rsidRDefault="005219E5" w:rsidP="00EC49D1">
      <w:pPr>
        <w:pStyle w:val="1"/>
        <w:ind w:firstLine="708"/>
        <w:jc w:val="both"/>
      </w:pPr>
      <w:r w:rsidRPr="00EC49D1">
        <w:t>Рішення Сумської міської ради від 02 грудня 2015 року № 21- МР «Про надання пільг у 2016 році платникам земельного податку»</w:t>
      </w:r>
    </w:p>
    <w:p w:rsidR="005219E5" w:rsidRPr="005B5847" w:rsidRDefault="005219E5" w:rsidP="005B5847">
      <w:pPr>
        <w:pStyle w:val="1"/>
        <w:ind w:firstLine="708"/>
        <w:jc w:val="both"/>
      </w:pPr>
    </w:p>
    <w:p w:rsidR="005219E5" w:rsidRPr="00511F3E" w:rsidRDefault="005219E5" w:rsidP="00EC49D1">
      <w:pPr>
        <w:jc w:val="both"/>
        <w:rPr>
          <w:b/>
          <w:bCs/>
          <w:sz w:val="28"/>
          <w:szCs w:val="28"/>
          <w:lang w:val="uk-UA"/>
        </w:rPr>
      </w:pPr>
      <w:r w:rsidRPr="00511F3E">
        <w:rPr>
          <w:b/>
          <w:bCs/>
          <w:sz w:val="28"/>
          <w:szCs w:val="28"/>
          <w:lang w:val="uk-UA"/>
        </w:rPr>
        <w:t xml:space="preserve">2. Виконавець заходів з відстеження: </w:t>
      </w:r>
    </w:p>
    <w:p w:rsidR="005219E5" w:rsidRPr="00EC49D1" w:rsidRDefault="005219E5" w:rsidP="00EC49D1">
      <w:pPr>
        <w:ind w:firstLine="708"/>
        <w:jc w:val="both"/>
        <w:rPr>
          <w:b/>
          <w:bCs/>
          <w:sz w:val="28"/>
          <w:szCs w:val="28"/>
          <w:lang w:val="uk-UA"/>
        </w:rPr>
      </w:pPr>
      <w:r w:rsidRPr="00EC49D1">
        <w:rPr>
          <w:sz w:val="28"/>
          <w:szCs w:val="28"/>
          <w:lang w:val="uk-UA"/>
        </w:rPr>
        <w:t>Департамент фінансів, економіки та інвестицій Сумської міської ради</w:t>
      </w:r>
    </w:p>
    <w:p w:rsidR="005219E5" w:rsidRPr="00511F3E" w:rsidRDefault="005219E5" w:rsidP="00511F3E">
      <w:pPr>
        <w:ind w:firstLine="708"/>
        <w:jc w:val="both"/>
        <w:rPr>
          <w:b/>
          <w:bCs/>
          <w:sz w:val="28"/>
          <w:szCs w:val="28"/>
          <w:lang w:val="uk-UA"/>
        </w:rPr>
      </w:pPr>
    </w:p>
    <w:p w:rsidR="005219E5" w:rsidRPr="00511F3E" w:rsidRDefault="005219E5" w:rsidP="00EC49D1">
      <w:pPr>
        <w:jc w:val="both"/>
        <w:rPr>
          <w:b/>
          <w:bCs/>
          <w:sz w:val="28"/>
          <w:szCs w:val="28"/>
          <w:lang w:val="uk-UA"/>
        </w:rPr>
      </w:pPr>
      <w:r w:rsidRPr="00511F3E">
        <w:rPr>
          <w:b/>
          <w:bCs/>
          <w:sz w:val="28"/>
          <w:szCs w:val="28"/>
          <w:lang w:val="uk-UA"/>
        </w:rPr>
        <w:t xml:space="preserve">3.Цілі прийняття </w:t>
      </w:r>
      <w:proofErr w:type="spellStart"/>
      <w:r w:rsidRPr="00511F3E">
        <w:rPr>
          <w:b/>
          <w:bCs/>
          <w:sz w:val="28"/>
          <w:szCs w:val="28"/>
          <w:lang w:val="uk-UA"/>
        </w:rPr>
        <w:t>акта</w:t>
      </w:r>
      <w:proofErr w:type="spellEnd"/>
      <w:r w:rsidRPr="00511F3E">
        <w:rPr>
          <w:b/>
          <w:bCs/>
          <w:sz w:val="28"/>
          <w:szCs w:val="28"/>
          <w:lang w:val="uk-UA"/>
        </w:rPr>
        <w:t xml:space="preserve">: </w:t>
      </w:r>
    </w:p>
    <w:p w:rsidR="005219E5" w:rsidRPr="00FE0DAD" w:rsidRDefault="005219E5" w:rsidP="00E103CB">
      <w:pPr>
        <w:numPr>
          <w:ilvl w:val="0"/>
          <w:numId w:val="3"/>
        </w:numPr>
        <w:jc w:val="both"/>
        <w:rPr>
          <w:sz w:val="28"/>
          <w:szCs w:val="28"/>
          <w:lang w:val="uk-UA"/>
        </w:rPr>
      </w:pPr>
      <w:r w:rsidRPr="00FE0DAD">
        <w:rPr>
          <w:sz w:val="28"/>
          <w:szCs w:val="28"/>
          <w:lang w:val="uk-UA"/>
        </w:rPr>
        <w:t>покращення фінансового стану підприємств, закладів;</w:t>
      </w:r>
    </w:p>
    <w:p w:rsidR="005219E5" w:rsidRPr="00FE0DAD" w:rsidRDefault="005219E5" w:rsidP="00E103CB">
      <w:pPr>
        <w:numPr>
          <w:ilvl w:val="0"/>
          <w:numId w:val="3"/>
        </w:numPr>
        <w:jc w:val="both"/>
        <w:rPr>
          <w:sz w:val="28"/>
          <w:szCs w:val="28"/>
          <w:lang w:val="uk-UA"/>
        </w:rPr>
      </w:pPr>
      <w:r w:rsidRPr="00FE0DAD">
        <w:rPr>
          <w:sz w:val="28"/>
          <w:szCs w:val="28"/>
          <w:lang w:val="uk-UA"/>
        </w:rPr>
        <w:t>забезпечення задоволення потреб мешканців міста.</w:t>
      </w:r>
    </w:p>
    <w:p w:rsidR="005219E5" w:rsidRPr="00511F3E" w:rsidRDefault="005219E5" w:rsidP="00152F4C">
      <w:pPr>
        <w:tabs>
          <w:tab w:val="num" w:pos="0"/>
        </w:tabs>
        <w:ind w:left="567" w:hanging="567"/>
        <w:jc w:val="both"/>
        <w:rPr>
          <w:sz w:val="28"/>
          <w:szCs w:val="28"/>
          <w:lang w:val="uk-UA"/>
        </w:rPr>
      </w:pPr>
    </w:p>
    <w:p w:rsidR="005219E5" w:rsidRPr="00511F3E" w:rsidRDefault="005219E5" w:rsidP="00EC49D1">
      <w:pPr>
        <w:jc w:val="both"/>
        <w:rPr>
          <w:b/>
          <w:bCs/>
          <w:sz w:val="28"/>
          <w:szCs w:val="28"/>
          <w:lang w:val="uk-UA"/>
        </w:rPr>
      </w:pPr>
      <w:r w:rsidRPr="00511F3E">
        <w:rPr>
          <w:b/>
          <w:bCs/>
          <w:sz w:val="28"/>
          <w:szCs w:val="28"/>
          <w:lang w:val="uk-UA"/>
        </w:rPr>
        <w:t xml:space="preserve">4. Строк виконання заходів з відстеження: </w:t>
      </w:r>
    </w:p>
    <w:p w:rsidR="005219E5" w:rsidRPr="00511F3E" w:rsidRDefault="005219E5" w:rsidP="00511F3E">
      <w:pPr>
        <w:ind w:firstLine="708"/>
        <w:jc w:val="both"/>
        <w:rPr>
          <w:sz w:val="28"/>
          <w:szCs w:val="28"/>
          <w:lang w:val="uk-UA"/>
        </w:rPr>
      </w:pPr>
      <w:r>
        <w:rPr>
          <w:sz w:val="28"/>
          <w:szCs w:val="28"/>
          <w:lang w:val="uk-UA"/>
        </w:rPr>
        <w:t>28.11.2016 – 28.12.2016.</w:t>
      </w:r>
    </w:p>
    <w:p w:rsidR="005219E5" w:rsidRPr="00511F3E" w:rsidRDefault="005219E5" w:rsidP="00511F3E">
      <w:pPr>
        <w:ind w:firstLine="708"/>
        <w:jc w:val="both"/>
        <w:rPr>
          <w:b/>
          <w:bCs/>
          <w:sz w:val="28"/>
          <w:szCs w:val="28"/>
          <w:lang w:val="uk-UA"/>
        </w:rPr>
      </w:pPr>
    </w:p>
    <w:p w:rsidR="005219E5" w:rsidRPr="00511F3E" w:rsidRDefault="005219E5" w:rsidP="00EC49D1">
      <w:pPr>
        <w:jc w:val="both"/>
        <w:rPr>
          <w:b/>
          <w:bCs/>
          <w:sz w:val="28"/>
          <w:szCs w:val="28"/>
          <w:lang w:val="uk-UA"/>
        </w:rPr>
      </w:pPr>
      <w:r w:rsidRPr="00511F3E">
        <w:rPr>
          <w:b/>
          <w:bCs/>
          <w:sz w:val="28"/>
          <w:szCs w:val="28"/>
          <w:lang w:val="uk-UA"/>
        </w:rPr>
        <w:t xml:space="preserve">5.Тип відстеження: </w:t>
      </w:r>
    </w:p>
    <w:p w:rsidR="005219E5" w:rsidRPr="00511F3E" w:rsidRDefault="005219E5" w:rsidP="00511F3E">
      <w:pPr>
        <w:ind w:firstLine="708"/>
        <w:jc w:val="both"/>
        <w:rPr>
          <w:sz w:val="28"/>
          <w:szCs w:val="28"/>
          <w:lang w:val="uk-UA"/>
        </w:rPr>
      </w:pPr>
      <w:r w:rsidRPr="00511F3E">
        <w:rPr>
          <w:sz w:val="28"/>
          <w:szCs w:val="28"/>
          <w:lang w:val="uk-UA"/>
        </w:rPr>
        <w:t>Повторне відстеження</w:t>
      </w:r>
      <w:r>
        <w:rPr>
          <w:sz w:val="28"/>
          <w:szCs w:val="28"/>
          <w:lang w:val="uk-UA"/>
        </w:rPr>
        <w:t>.</w:t>
      </w:r>
    </w:p>
    <w:p w:rsidR="005219E5" w:rsidRPr="00511F3E" w:rsidRDefault="005219E5" w:rsidP="00511F3E">
      <w:pPr>
        <w:ind w:firstLine="708"/>
        <w:jc w:val="both"/>
        <w:rPr>
          <w:b/>
          <w:bCs/>
          <w:sz w:val="28"/>
          <w:szCs w:val="28"/>
          <w:lang w:val="uk-UA"/>
        </w:rPr>
      </w:pPr>
    </w:p>
    <w:p w:rsidR="005219E5" w:rsidRPr="00511F3E" w:rsidRDefault="005219E5" w:rsidP="00EC49D1">
      <w:pPr>
        <w:jc w:val="both"/>
        <w:rPr>
          <w:b/>
          <w:bCs/>
          <w:sz w:val="28"/>
          <w:szCs w:val="28"/>
          <w:lang w:val="uk-UA"/>
        </w:rPr>
      </w:pPr>
      <w:r w:rsidRPr="00511F3E">
        <w:rPr>
          <w:b/>
          <w:bCs/>
          <w:sz w:val="28"/>
          <w:szCs w:val="28"/>
          <w:lang w:val="uk-UA"/>
        </w:rPr>
        <w:t xml:space="preserve">6.Метод одержання результатів відстеження: </w:t>
      </w:r>
    </w:p>
    <w:p w:rsidR="005219E5" w:rsidRPr="00EC49D1" w:rsidRDefault="005219E5" w:rsidP="00EC49D1">
      <w:pPr>
        <w:ind w:firstLine="708"/>
        <w:jc w:val="both"/>
        <w:rPr>
          <w:sz w:val="28"/>
          <w:szCs w:val="28"/>
          <w:lang w:val="uk-UA"/>
        </w:rPr>
      </w:pPr>
      <w:r w:rsidRPr="00EC49D1">
        <w:rPr>
          <w:sz w:val="28"/>
          <w:szCs w:val="28"/>
          <w:lang w:val="uk-UA"/>
        </w:rPr>
        <w:t>Методом одержання результатів відстеження є статистичний метод</w:t>
      </w:r>
    </w:p>
    <w:p w:rsidR="005219E5" w:rsidRPr="00511F3E" w:rsidRDefault="005219E5" w:rsidP="00511F3E">
      <w:pPr>
        <w:ind w:firstLine="708"/>
        <w:jc w:val="both"/>
        <w:rPr>
          <w:sz w:val="28"/>
          <w:szCs w:val="28"/>
        </w:rPr>
      </w:pPr>
    </w:p>
    <w:p w:rsidR="005219E5" w:rsidRPr="00511F3E" w:rsidRDefault="005219E5" w:rsidP="00EC49D1">
      <w:pPr>
        <w:jc w:val="both"/>
        <w:rPr>
          <w:b/>
          <w:bCs/>
          <w:sz w:val="28"/>
          <w:szCs w:val="28"/>
          <w:lang w:val="uk-UA"/>
        </w:rPr>
      </w:pPr>
      <w:r w:rsidRPr="00511F3E">
        <w:rPr>
          <w:b/>
          <w:bCs/>
          <w:sz w:val="28"/>
          <w:szCs w:val="28"/>
          <w:lang w:val="uk-UA"/>
        </w:rPr>
        <w:t xml:space="preserve">7. Дані та припущення, на основі яких відстежувалася результативність, а також способи одержання даних: </w:t>
      </w:r>
    </w:p>
    <w:p w:rsidR="005219E5" w:rsidRPr="00FE0DAD" w:rsidRDefault="005219E5" w:rsidP="00E103CB">
      <w:pPr>
        <w:widowControl w:val="0"/>
        <w:tabs>
          <w:tab w:val="left" w:pos="0"/>
          <w:tab w:val="left" w:pos="709"/>
        </w:tabs>
        <w:autoSpaceDE w:val="0"/>
        <w:autoSpaceDN w:val="0"/>
        <w:adjustRightInd w:val="0"/>
        <w:jc w:val="both"/>
        <w:rPr>
          <w:sz w:val="28"/>
          <w:szCs w:val="28"/>
          <w:lang w:val="uk-UA"/>
        </w:rPr>
      </w:pPr>
      <w:r>
        <w:rPr>
          <w:sz w:val="28"/>
          <w:szCs w:val="28"/>
          <w:lang w:val="uk-UA"/>
        </w:rPr>
        <w:tab/>
        <w:t>Повторне</w:t>
      </w:r>
      <w:r w:rsidRPr="00FE0DAD">
        <w:rPr>
          <w:sz w:val="28"/>
          <w:szCs w:val="28"/>
          <w:lang w:val="uk-UA"/>
        </w:rPr>
        <w:t xml:space="preserve"> відстеження результативності рішення Сумської міської ради від</w:t>
      </w:r>
      <w:r w:rsidRPr="00FE0DAD">
        <w:rPr>
          <w:b/>
          <w:bCs/>
          <w:sz w:val="28"/>
          <w:szCs w:val="28"/>
          <w:lang w:val="uk-UA"/>
        </w:rPr>
        <w:t xml:space="preserve"> </w:t>
      </w:r>
      <w:r w:rsidRPr="00FE0DAD">
        <w:rPr>
          <w:sz w:val="28"/>
          <w:szCs w:val="28"/>
          <w:lang w:val="uk-UA"/>
        </w:rPr>
        <w:t>02 грудня 2015 року № 21- МР «Про надання пільг у 2016 році платникам земельного податку» здійснювалося шляхом аналізу даних Державної податкової інспекції у м. Сумах щодо кількості суб’єктів господарювання, яким за рахунок коштів міського бюджету надано пільги та суми наданих їм пільг</w:t>
      </w:r>
      <w:r>
        <w:rPr>
          <w:sz w:val="28"/>
          <w:szCs w:val="28"/>
          <w:lang w:val="uk-UA"/>
        </w:rPr>
        <w:t xml:space="preserve"> зі сплати земельного податку, інформації, що надійшла від суб’єктів господарювання.</w:t>
      </w:r>
    </w:p>
    <w:p w:rsidR="005219E5" w:rsidRPr="00511F3E" w:rsidRDefault="005219E5" w:rsidP="00511F3E">
      <w:pPr>
        <w:ind w:firstLine="708"/>
        <w:jc w:val="both"/>
        <w:rPr>
          <w:b/>
          <w:bCs/>
          <w:sz w:val="28"/>
          <w:szCs w:val="28"/>
          <w:lang w:val="uk-UA"/>
        </w:rPr>
      </w:pPr>
    </w:p>
    <w:p w:rsidR="005219E5" w:rsidRDefault="005219E5" w:rsidP="00EC49D1">
      <w:pPr>
        <w:jc w:val="both"/>
        <w:rPr>
          <w:b/>
          <w:bCs/>
          <w:sz w:val="28"/>
          <w:szCs w:val="28"/>
          <w:lang w:val="uk-UA"/>
        </w:rPr>
      </w:pPr>
      <w:r w:rsidRPr="00511F3E">
        <w:rPr>
          <w:b/>
          <w:bCs/>
          <w:sz w:val="28"/>
          <w:szCs w:val="28"/>
          <w:lang w:val="uk-UA"/>
        </w:rPr>
        <w:t xml:space="preserve">8. Кількісні та якісні значення показників: </w:t>
      </w:r>
    </w:p>
    <w:p w:rsidR="005219E5" w:rsidRPr="00FE0DAD" w:rsidRDefault="005219E5" w:rsidP="00023699">
      <w:pPr>
        <w:ind w:firstLine="709"/>
        <w:jc w:val="both"/>
        <w:rPr>
          <w:sz w:val="28"/>
          <w:szCs w:val="28"/>
          <w:lang w:val="uk-UA"/>
        </w:rPr>
      </w:pPr>
      <w:r w:rsidRPr="00FE0DAD">
        <w:rPr>
          <w:sz w:val="28"/>
          <w:szCs w:val="28"/>
          <w:lang w:val="uk-UA"/>
        </w:rPr>
        <w:t xml:space="preserve">Відстеження результативності регуляторного </w:t>
      </w:r>
      <w:proofErr w:type="spellStart"/>
      <w:r w:rsidRPr="00FE0DAD">
        <w:rPr>
          <w:sz w:val="28"/>
          <w:szCs w:val="28"/>
          <w:lang w:val="uk-UA"/>
        </w:rPr>
        <w:t>акта</w:t>
      </w:r>
      <w:proofErr w:type="spellEnd"/>
      <w:r w:rsidRPr="00FE0DAD">
        <w:rPr>
          <w:sz w:val="28"/>
          <w:szCs w:val="28"/>
          <w:lang w:val="uk-UA"/>
        </w:rPr>
        <w:t xml:space="preserve"> здійснюється у встановленому законодавством порядку за  кількісними і якісними показниками з використанням статистичного метода  одержання результатів відстеження.</w:t>
      </w:r>
    </w:p>
    <w:p w:rsidR="005219E5" w:rsidRPr="00FE0DAD" w:rsidRDefault="005219E5" w:rsidP="00023699">
      <w:pPr>
        <w:ind w:firstLine="708"/>
        <w:jc w:val="both"/>
        <w:rPr>
          <w:sz w:val="28"/>
          <w:szCs w:val="28"/>
          <w:lang w:val="uk-UA"/>
        </w:rPr>
      </w:pPr>
      <w:r w:rsidRPr="00FE0DAD">
        <w:rPr>
          <w:sz w:val="28"/>
          <w:szCs w:val="28"/>
          <w:lang w:val="uk-UA"/>
        </w:rPr>
        <w:t xml:space="preserve">Основними показниками результативності </w:t>
      </w:r>
      <w:proofErr w:type="spellStart"/>
      <w:r w:rsidRPr="00FE0DAD">
        <w:rPr>
          <w:sz w:val="28"/>
          <w:szCs w:val="28"/>
          <w:lang w:val="uk-UA"/>
        </w:rPr>
        <w:t>акта</w:t>
      </w:r>
      <w:proofErr w:type="spellEnd"/>
      <w:r w:rsidRPr="00FE0DAD">
        <w:rPr>
          <w:sz w:val="28"/>
          <w:szCs w:val="28"/>
          <w:lang w:val="uk-UA"/>
        </w:rPr>
        <w:t xml:space="preserve"> є кількість суб’єктів господарювання, яким за рахунок коштів міського бюджету надано пільги та сума наданих пільг, інформація про фактичне використання суб’єктами господарювання  вивільнених коштів від надання пільг по земельному податку за напрямами.</w:t>
      </w:r>
    </w:p>
    <w:p w:rsidR="005219E5" w:rsidRPr="00FE0DAD" w:rsidRDefault="005219E5" w:rsidP="00023699">
      <w:pPr>
        <w:jc w:val="both"/>
        <w:rPr>
          <w:color w:val="FF0000"/>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394"/>
        <w:gridCol w:w="3285"/>
      </w:tblGrid>
      <w:tr w:rsidR="005219E5" w:rsidRPr="00FE0DAD">
        <w:trPr>
          <w:trHeight w:val="564"/>
          <w:jc w:val="center"/>
        </w:trPr>
        <w:tc>
          <w:tcPr>
            <w:tcW w:w="1101" w:type="dxa"/>
            <w:vAlign w:val="center"/>
          </w:tcPr>
          <w:p w:rsidR="005219E5" w:rsidRPr="00FE0DAD" w:rsidRDefault="005219E5" w:rsidP="00992795">
            <w:pPr>
              <w:jc w:val="center"/>
              <w:rPr>
                <w:sz w:val="28"/>
                <w:szCs w:val="28"/>
                <w:lang w:val="uk-UA"/>
              </w:rPr>
            </w:pPr>
            <w:r w:rsidRPr="00FE0DAD">
              <w:rPr>
                <w:sz w:val="28"/>
                <w:szCs w:val="28"/>
                <w:lang w:val="uk-UA"/>
              </w:rPr>
              <w:lastRenderedPageBreak/>
              <w:t>№ з/п</w:t>
            </w:r>
          </w:p>
        </w:tc>
        <w:tc>
          <w:tcPr>
            <w:tcW w:w="4394" w:type="dxa"/>
            <w:vAlign w:val="center"/>
          </w:tcPr>
          <w:p w:rsidR="005219E5" w:rsidRPr="00FE0DAD" w:rsidRDefault="005219E5" w:rsidP="00992795">
            <w:pPr>
              <w:jc w:val="center"/>
              <w:rPr>
                <w:sz w:val="28"/>
                <w:szCs w:val="28"/>
                <w:lang w:val="uk-UA"/>
              </w:rPr>
            </w:pPr>
            <w:r w:rsidRPr="00FE0DAD">
              <w:rPr>
                <w:sz w:val="28"/>
                <w:szCs w:val="28"/>
                <w:lang w:val="uk-UA"/>
              </w:rPr>
              <w:t>Показники результативності</w:t>
            </w:r>
          </w:p>
        </w:tc>
        <w:tc>
          <w:tcPr>
            <w:tcW w:w="3285" w:type="dxa"/>
            <w:vAlign w:val="center"/>
          </w:tcPr>
          <w:p w:rsidR="005219E5" w:rsidRPr="00511F3E" w:rsidRDefault="005219E5" w:rsidP="00023699">
            <w:pPr>
              <w:jc w:val="both"/>
              <w:rPr>
                <w:sz w:val="28"/>
                <w:szCs w:val="28"/>
                <w:lang w:val="uk-UA"/>
              </w:rPr>
            </w:pPr>
            <w:r>
              <w:rPr>
                <w:sz w:val="28"/>
                <w:szCs w:val="28"/>
                <w:lang w:val="uk-UA"/>
              </w:rPr>
              <w:t>28.11.2016 – 28.12.2016</w:t>
            </w:r>
          </w:p>
          <w:p w:rsidR="005219E5" w:rsidRPr="00FE0DAD" w:rsidRDefault="005219E5" w:rsidP="00992795">
            <w:pPr>
              <w:jc w:val="center"/>
              <w:rPr>
                <w:sz w:val="28"/>
                <w:szCs w:val="28"/>
                <w:lang w:val="uk-UA"/>
              </w:rPr>
            </w:pPr>
          </w:p>
        </w:tc>
      </w:tr>
      <w:tr w:rsidR="005219E5" w:rsidRPr="00FE0DAD">
        <w:trPr>
          <w:jc w:val="center"/>
        </w:trPr>
        <w:tc>
          <w:tcPr>
            <w:tcW w:w="1101" w:type="dxa"/>
          </w:tcPr>
          <w:p w:rsidR="005219E5" w:rsidRPr="00FE0DAD" w:rsidRDefault="005219E5" w:rsidP="00992795">
            <w:pPr>
              <w:jc w:val="center"/>
              <w:rPr>
                <w:sz w:val="28"/>
                <w:szCs w:val="28"/>
                <w:lang w:val="uk-UA"/>
              </w:rPr>
            </w:pPr>
            <w:r w:rsidRPr="00FE0DAD">
              <w:rPr>
                <w:sz w:val="28"/>
                <w:szCs w:val="28"/>
                <w:lang w:val="uk-UA"/>
              </w:rPr>
              <w:t>1</w:t>
            </w:r>
            <w:r>
              <w:rPr>
                <w:sz w:val="28"/>
                <w:szCs w:val="28"/>
                <w:lang w:val="uk-UA"/>
              </w:rPr>
              <w:t>.</w:t>
            </w:r>
          </w:p>
        </w:tc>
        <w:tc>
          <w:tcPr>
            <w:tcW w:w="4394" w:type="dxa"/>
          </w:tcPr>
          <w:p w:rsidR="005219E5" w:rsidRPr="00FE0DAD" w:rsidRDefault="005219E5" w:rsidP="00257DD7">
            <w:pPr>
              <w:jc w:val="both"/>
              <w:rPr>
                <w:sz w:val="28"/>
                <w:szCs w:val="28"/>
                <w:lang w:val="uk-UA"/>
              </w:rPr>
            </w:pPr>
            <w:r w:rsidRPr="00FE0DAD">
              <w:rPr>
                <w:sz w:val="28"/>
                <w:szCs w:val="28"/>
                <w:lang w:val="uk-UA"/>
              </w:rPr>
              <w:t>Кількість суб’єктів господарювання, що отримують пільги зі сплати земельного податку</w:t>
            </w:r>
            <w:r>
              <w:rPr>
                <w:sz w:val="28"/>
                <w:szCs w:val="28"/>
                <w:lang w:val="uk-UA"/>
              </w:rPr>
              <w:t xml:space="preserve"> відповідно до рішення</w:t>
            </w:r>
          </w:p>
        </w:tc>
        <w:tc>
          <w:tcPr>
            <w:tcW w:w="3285" w:type="dxa"/>
            <w:vAlign w:val="center"/>
          </w:tcPr>
          <w:p w:rsidR="005219E5" w:rsidRPr="00FE0DAD" w:rsidRDefault="005219E5" w:rsidP="00992795">
            <w:pPr>
              <w:jc w:val="center"/>
              <w:rPr>
                <w:sz w:val="28"/>
                <w:szCs w:val="28"/>
                <w:highlight w:val="yellow"/>
                <w:lang w:val="uk-UA"/>
              </w:rPr>
            </w:pPr>
            <w:r w:rsidRPr="00FE0DAD">
              <w:rPr>
                <w:sz w:val="28"/>
                <w:szCs w:val="28"/>
                <w:lang w:val="uk-UA"/>
              </w:rPr>
              <w:t>12</w:t>
            </w:r>
          </w:p>
        </w:tc>
      </w:tr>
      <w:tr w:rsidR="005219E5" w:rsidRPr="00FE0DAD">
        <w:trPr>
          <w:jc w:val="center"/>
        </w:trPr>
        <w:tc>
          <w:tcPr>
            <w:tcW w:w="1101" w:type="dxa"/>
          </w:tcPr>
          <w:p w:rsidR="005219E5" w:rsidRPr="00FE0DAD" w:rsidRDefault="005219E5" w:rsidP="00992795">
            <w:pPr>
              <w:jc w:val="center"/>
              <w:rPr>
                <w:sz w:val="28"/>
                <w:szCs w:val="28"/>
                <w:lang w:val="uk-UA"/>
              </w:rPr>
            </w:pPr>
            <w:r w:rsidRPr="00FE0DAD">
              <w:rPr>
                <w:sz w:val="28"/>
                <w:szCs w:val="28"/>
                <w:lang w:val="uk-UA"/>
              </w:rPr>
              <w:t>2</w:t>
            </w:r>
            <w:r>
              <w:rPr>
                <w:sz w:val="28"/>
                <w:szCs w:val="28"/>
                <w:lang w:val="uk-UA"/>
              </w:rPr>
              <w:t>.</w:t>
            </w:r>
          </w:p>
        </w:tc>
        <w:tc>
          <w:tcPr>
            <w:tcW w:w="4394" w:type="dxa"/>
          </w:tcPr>
          <w:p w:rsidR="005219E5" w:rsidRPr="00FE0DAD" w:rsidRDefault="005219E5" w:rsidP="00257DD7">
            <w:pPr>
              <w:jc w:val="both"/>
              <w:rPr>
                <w:sz w:val="28"/>
                <w:szCs w:val="28"/>
                <w:lang w:val="uk-UA"/>
              </w:rPr>
            </w:pPr>
            <w:r w:rsidRPr="00FE0DAD">
              <w:rPr>
                <w:sz w:val="28"/>
                <w:szCs w:val="28"/>
                <w:lang w:val="uk-UA"/>
              </w:rPr>
              <w:t>Розрахункова орієнтовна сума  пільг по земельному податку з юридичних осіб</w:t>
            </w:r>
          </w:p>
        </w:tc>
        <w:tc>
          <w:tcPr>
            <w:tcW w:w="3285" w:type="dxa"/>
            <w:vAlign w:val="center"/>
          </w:tcPr>
          <w:p w:rsidR="005219E5" w:rsidRPr="00FE0DAD" w:rsidRDefault="005219E5" w:rsidP="00992795">
            <w:pPr>
              <w:jc w:val="center"/>
              <w:rPr>
                <w:sz w:val="28"/>
                <w:szCs w:val="28"/>
                <w:lang w:val="uk-UA"/>
              </w:rPr>
            </w:pPr>
            <w:r w:rsidRPr="00FE0DAD">
              <w:rPr>
                <w:sz w:val="28"/>
                <w:szCs w:val="28"/>
                <w:lang w:val="uk-UA"/>
              </w:rPr>
              <w:t>9910,12</w:t>
            </w:r>
            <w:r w:rsidRPr="00FE0DAD">
              <w:rPr>
                <w:b/>
                <w:bCs/>
                <w:sz w:val="28"/>
                <w:szCs w:val="28"/>
                <w:lang w:val="uk-UA"/>
              </w:rPr>
              <w:t xml:space="preserve"> </w:t>
            </w:r>
            <w:proofErr w:type="spellStart"/>
            <w:r w:rsidRPr="00FE0DAD">
              <w:rPr>
                <w:sz w:val="28"/>
                <w:szCs w:val="28"/>
                <w:lang w:val="uk-UA"/>
              </w:rPr>
              <w:t>тис.грн</w:t>
            </w:r>
            <w:proofErr w:type="spellEnd"/>
            <w:r w:rsidRPr="00FE0DAD">
              <w:rPr>
                <w:sz w:val="28"/>
                <w:szCs w:val="28"/>
                <w:lang w:val="uk-UA"/>
              </w:rPr>
              <w:t>.</w:t>
            </w:r>
          </w:p>
        </w:tc>
      </w:tr>
      <w:tr w:rsidR="005219E5" w:rsidRPr="00FE0DAD">
        <w:trPr>
          <w:jc w:val="center"/>
        </w:trPr>
        <w:tc>
          <w:tcPr>
            <w:tcW w:w="1101" w:type="dxa"/>
          </w:tcPr>
          <w:p w:rsidR="005219E5" w:rsidRPr="00FE0DAD" w:rsidRDefault="005219E5" w:rsidP="00992795">
            <w:pPr>
              <w:jc w:val="center"/>
              <w:rPr>
                <w:sz w:val="28"/>
                <w:szCs w:val="28"/>
                <w:lang w:val="uk-UA"/>
              </w:rPr>
            </w:pPr>
            <w:r w:rsidRPr="00FE0DAD">
              <w:rPr>
                <w:sz w:val="28"/>
                <w:szCs w:val="28"/>
                <w:lang w:val="uk-UA"/>
              </w:rPr>
              <w:t>3.</w:t>
            </w:r>
          </w:p>
        </w:tc>
        <w:tc>
          <w:tcPr>
            <w:tcW w:w="4394" w:type="dxa"/>
          </w:tcPr>
          <w:p w:rsidR="005219E5" w:rsidRPr="00FE0DAD" w:rsidRDefault="005219E5" w:rsidP="00257DD7">
            <w:pPr>
              <w:jc w:val="both"/>
              <w:rPr>
                <w:sz w:val="28"/>
                <w:szCs w:val="28"/>
                <w:lang w:val="uk-UA"/>
              </w:rPr>
            </w:pPr>
            <w:r>
              <w:rPr>
                <w:sz w:val="28"/>
                <w:szCs w:val="28"/>
                <w:lang w:val="uk-UA"/>
              </w:rPr>
              <w:t>Ф</w:t>
            </w:r>
            <w:r w:rsidRPr="00FE0DAD">
              <w:rPr>
                <w:sz w:val="28"/>
                <w:szCs w:val="28"/>
                <w:lang w:val="uk-UA"/>
              </w:rPr>
              <w:t>актичн</w:t>
            </w:r>
            <w:r>
              <w:rPr>
                <w:sz w:val="28"/>
                <w:szCs w:val="28"/>
                <w:lang w:val="uk-UA"/>
              </w:rPr>
              <w:t>а сума</w:t>
            </w:r>
            <w:r w:rsidRPr="00FE0DAD">
              <w:rPr>
                <w:sz w:val="28"/>
                <w:szCs w:val="28"/>
                <w:lang w:val="uk-UA"/>
              </w:rPr>
              <w:t xml:space="preserve"> використан</w:t>
            </w:r>
            <w:r>
              <w:rPr>
                <w:sz w:val="28"/>
                <w:szCs w:val="28"/>
                <w:lang w:val="uk-UA"/>
              </w:rPr>
              <w:t>их</w:t>
            </w:r>
            <w:r w:rsidRPr="00FE0DAD">
              <w:rPr>
                <w:sz w:val="28"/>
                <w:szCs w:val="28"/>
                <w:lang w:val="uk-UA"/>
              </w:rPr>
              <w:t xml:space="preserve"> суб’єктами господарювання  вивільнених коштів від надання пільг по земельному податку </w:t>
            </w:r>
            <w:r>
              <w:rPr>
                <w:sz w:val="28"/>
                <w:szCs w:val="28"/>
                <w:lang w:val="uk-UA"/>
              </w:rPr>
              <w:t>за підсумками 9 місяців 2016 року</w:t>
            </w:r>
          </w:p>
        </w:tc>
        <w:tc>
          <w:tcPr>
            <w:tcW w:w="3285" w:type="dxa"/>
            <w:vAlign w:val="center"/>
          </w:tcPr>
          <w:p w:rsidR="005219E5" w:rsidRPr="00FE0DAD" w:rsidRDefault="005219E5" w:rsidP="00992795">
            <w:pPr>
              <w:jc w:val="center"/>
              <w:rPr>
                <w:sz w:val="28"/>
                <w:szCs w:val="28"/>
                <w:lang w:val="uk-UA"/>
              </w:rPr>
            </w:pPr>
            <w:r>
              <w:rPr>
                <w:sz w:val="28"/>
                <w:szCs w:val="28"/>
                <w:lang w:val="uk-UA"/>
              </w:rPr>
              <w:t>7045,0 тис. грн.</w:t>
            </w:r>
          </w:p>
        </w:tc>
      </w:tr>
    </w:tbl>
    <w:p w:rsidR="005219E5" w:rsidRPr="00EC49D1" w:rsidRDefault="005219E5" w:rsidP="00EC49D1">
      <w:pPr>
        <w:jc w:val="both"/>
        <w:rPr>
          <w:sz w:val="28"/>
          <w:szCs w:val="28"/>
          <w:lang w:val="uk-UA"/>
        </w:rPr>
      </w:pPr>
    </w:p>
    <w:p w:rsidR="005219E5" w:rsidRPr="00511F3E" w:rsidRDefault="005219E5" w:rsidP="00EC49D1">
      <w:pPr>
        <w:jc w:val="both"/>
        <w:rPr>
          <w:b/>
          <w:bCs/>
          <w:sz w:val="28"/>
          <w:szCs w:val="28"/>
          <w:lang w:val="uk-UA"/>
        </w:rPr>
      </w:pPr>
      <w:r w:rsidRPr="00511F3E">
        <w:rPr>
          <w:b/>
          <w:bCs/>
          <w:sz w:val="28"/>
          <w:szCs w:val="28"/>
          <w:lang w:val="uk-UA"/>
        </w:rPr>
        <w:t xml:space="preserve">9. Оцінка результатів реалізації регуляторного </w:t>
      </w:r>
      <w:proofErr w:type="spellStart"/>
      <w:r w:rsidRPr="00511F3E">
        <w:rPr>
          <w:b/>
          <w:bCs/>
          <w:sz w:val="28"/>
          <w:szCs w:val="28"/>
          <w:lang w:val="uk-UA"/>
        </w:rPr>
        <w:t>акта</w:t>
      </w:r>
      <w:proofErr w:type="spellEnd"/>
      <w:r w:rsidRPr="00511F3E">
        <w:rPr>
          <w:b/>
          <w:bCs/>
          <w:sz w:val="28"/>
          <w:szCs w:val="28"/>
          <w:lang w:val="uk-UA"/>
        </w:rPr>
        <w:t xml:space="preserve"> та ступеня досягнення визначених цілей: </w:t>
      </w:r>
    </w:p>
    <w:p w:rsidR="005219E5" w:rsidRPr="00CE00F3" w:rsidRDefault="005219E5" w:rsidP="00CF6CE5">
      <w:pPr>
        <w:ind w:firstLine="708"/>
        <w:jc w:val="both"/>
        <w:rPr>
          <w:sz w:val="28"/>
          <w:szCs w:val="28"/>
          <w:lang w:val="uk-UA"/>
        </w:rPr>
      </w:pPr>
      <w:r w:rsidRPr="00FE0DAD">
        <w:rPr>
          <w:sz w:val="28"/>
          <w:szCs w:val="28"/>
          <w:lang w:val="uk-UA"/>
        </w:rPr>
        <w:t>Даний регуляторний акт визнач</w:t>
      </w:r>
      <w:r>
        <w:rPr>
          <w:sz w:val="28"/>
          <w:szCs w:val="28"/>
          <w:lang w:val="uk-UA"/>
        </w:rPr>
        <w:t>ає</w:t>
      </w:r>
      <w:r w:rsidRPr="00FE0DAD">
        <w:rPr>
          <w:sz w:val="28"/>
          <w:szCs w:val="28"/>
          <w:lang w:val="uk-UA"/>
        </w:rPr>
        <w:t xml:space="preserve"> категорі</w:t>
      </w:r>
      <w:r>
        <w:rPr>
          <w:sz w:val="28"/>
          <w:szCs w:val="28"/>
          <w:lang w:val="uk-UA"/>
        </w:rPr>
        <w:t>ї</w:t>
      </w:r>
      <w:r w:rsidRPr="00FE0DAD">
        <w:rPr>
          <w:sz w:val="28"/>
          <w:szCs w:val="28"/>
          <w:lang w:val="uk-UA"/>
        </w:rPr>
        <w:t xml:space="preserve"> платників</w:t>
      </w:r>
      <w:r w:rsidRPr="00FE0DAD">
        <w:rPr>
          <w:sz w:val="28"/>
          <w:szCs w:val="28"/>
          <w:bdr w:val="none" w:sz="0" w:space="0" w:color="auto" w:frame="1"/>
          <w:lang w:val="uk-UA"/>
        </w:rPr>
        <w:t xml:space="preserve">, яким надаються пільги </w:t>
      </w:r>
      <w:r w:rsidRPr="00FE0DAD">
        <w:rPr>
          <w:sz w:val="28"/>
          <w:szCs w:val="28"/>
          <w:lang w:val="uk-UA"/>
        </w:rPr>
        <w:t>зі сплати земельного податку в 2016 році</w:t>
      </w:r>
      <w:r>
        <w:rPr>
          <w:sz w:val="28"/>
          <w:szCs w:val="28"/>
          <w:lang w:val="uk-UA"/>
        </w:rPr>
        <w:t xml:space="preserve">, що дозволяє </w:t>
      </w:r>
      <w:r w:rsidRPr="00CE00F3">
        <w:rPr>
          <w:sz w:val="28"/>
          <w:szCs w:val="28"/>
          <w:lang w:val="uk-UA"/>
        </w:rPr>
        <w:t>покращ</w:t>
      </w:r>
      <w:r>
        <w:rPr>
          <w:sz w:val="28"/>
          <w:szCs w:val="28"/>
          <w:lang w:val="uk-UA"/>
        </w:rPr>
        <w:t xml:space="preserve">ити </w:t>
      </w:r>
      <w:r w:rsidRPr="00CE00F3">
        <w:rPr>
          <w:sz w:val="28"/>
          <w:szCs w:val="28"/>
          <w:lang w:val="uk-UA"/>
        </w:rPr>
        <w:t>фінансов</w:t>
      </w:r>
      <w:r>
        <w:rPr>
          <w:sz w:val="28"/>
          <w:szCs w:val="28"/>
          <w:lang w:val="uk-UA"/>
        </w:rPr>
        <w:t>ий</w:t>
      </w:r>
      <w:r w:rsidRPr="00CE00F3">
        <w:rPr>
          <w:sz w:val="28"/>
          <w:szCs w:val="28"/>
          <w:lang w:val="uk-UA"/>
        </w:rPr>
        <w:t xml:space="preserve"> стан</w:t>
      </w:r>
      <w:r>
        <w:rPr>
          <w:sz w:val="28"/>
          <w:szCs w:val="28"/>
          <w:lang w:val="uk-UA"/>
        </w:rPr>
        <w:t xml:space="preserve"> визначених підприємств</w:t>
      </w:r>
      <w:r w:rsidRPr="00CE00F3">
        <w:rPr>
          <w:sz w:val="28"/>
          <w:szCs w:val="28"/>
          <w:lang w:val="uk-UA"/>
        </w:rPr>
        <w:t xml:space="preserve">, закладів та </w:t>
      </w:r>
      <w:r>
        <w:rPr>
          <w:sz w:val="28"/>
          <w:szCs w:val="28"/>
          <w:lang w:val="uk-UA"/>
        </w:rPr>
        <w:t xml:space="preserve">сприяє стабільному забезпеченню життєдіяльності </w:t>
      </w:r>
      <w:r w:rsidRPr="00CE00F3">
        <w:rPr>
          <w:sz w:val="28"/>
          <w:szCs w:val="28"/>
          <w:lang w:val="uk-UA"/>
        </w:rPr>
        <w:t>мешканців міста.</w:t>
      </w:r>
    </w:p>
    <w:p w:rsidR="005219E5" w:rsidRPr="00FE0DAD" w:rsidRDefault="005219E5" w:rsidP="00CF6CE5">
      <w:pPr>
        <w:shd w:val="clear" w:color="auto" w:fill="FFFFFF"/>
        <w:ind w:firstLine="709"/>
        <w:jc w:val="both"/>
        <w:rPr>
          <w:rFonts w:ascii="Tahoma" w:hAnsi="Tahoma" w:cs="Tahoma"/>
          <w:lang w:val="uk-UA"/>
        </w:rPr>
      </w:pPr>
      <w:r w:rsidRPr="00FE0DAD">
        <w:rPr>
          <w:sz w:val="28"/>
          <w:szCs w:val="28"/>
          <w:lang w:val="uk-UA"/>
        </w:rPr>
        <w:t xml:space="preserve">Існуючі регуляторні акти </w:t>
      </w:r>
      <w:r>
        <w:rPr>
          <w:sz w:val="28"/>
          <w:szCs w:val="28"/>
          <w:lang w:val="uk-UA"/>
        </w:rPr>
        <w:t xml:space="preserve">при встановленні пільг </w:t>
      </w:r>
      <w:r w:rsidRPr="00FE0DAD">
        <w:rPr>
          <w:sz w:val="28"/>
          <w:szCs w:val="28"/>
          <w:lang w:val="uk-UA"/>
        </w:rPr>
        <w:t xml:space="preserve">не враховують в повній мірі категорії платників земельного податку, діяльність яких направлена на забезпечення життєдіяльності міста та має соціально значущий характер. </w:t>
      </w:r>
    </w:p>
    <w:p w:rsidR="005219E5" w:rsidRPr="008F5DF8" w:rsidRDefault="005219E5" w:rsidP="009D5EE9">
      <w:pPr>
        <w:pStyle w:val="1"/>
        <w:ind w:firstLine="708"/>
        <w:jc w:val="both"/>
        <w:rPr>
          <w:b/>
          <w:bCs/>
        </w:rPr>
      </w:pPr>
      <w:r>
        <w:t>Відповідно до статті 284 Податкового кодексу України, у зв’язку з визначеним терміном дії (1 рік) р</w:t>
      </w:r>
      <w:r w:rsidRPr="00EC49D1">
        <w:t>ішення Сумської міської ради від 02 грудня 2015 року № 21- МР «Про надання пільг у 2016 році платникам земельного податку»</w:t>
      </w:r>
      <w:r>
        <w:t xml:space="preserve">, прийняттям рішення Сумської міської ради </w:t>
      </w:r>
      <w:r w:rsidRPr="00BC445A">
        <w:t xml:space="preserve">від 08 липня 2015 року </w:t>
      </w:r>
      <w:r>
        <w:t xml:space="preserve">               </w:t>
      </w:r>
      <w:r w:rsidRPr="00BC445A">
        <w:t>№ 4562–МР «Про встановлення плати за землю на території міста Суми»</w:t>
      </w:r>
      <w:r>
        <w:t xml:space="preserve"> (зі змінами) даний регуляторний акт втрачає чинність з 01.01.2017. Отже, </w:t>
      </w:r>
      <w:r w:rsidRPr="008F5DF8">
        <w:rPr>
          <w:rStyle w:val="a4"/>
          <w:b w:val="0"/>
          <w:bCs w:val="0"/>
        </w:rPr>
        <w:t>періодичн</w:t>
      </w:r>
      <w:r>
        <w:rPr>
          <w:rStyle w:val="a4"/>
          <w:b w:val="0"/>
          <w:bCs w:val="0"/>
        </w:rPr>
        <w:t>е</w:t>
      </w:r>
      <w:r w:rsidRPr="008F5DF8">
        <w:rPr>
          <w:rStyle w:val="a4"/>
          <w:b w:val="0"/>
          <w:bCs w:val="0"/>
        </w:rPr>
        <w:t xml:space="preserve"> відстеженн</w:t>
      </w:r>
      <w:r>
        <w:rPr>
          <w:rStyle w:val="a4"/>
          <w:b w:val="0"/>
          <w:bCs w:val="0"/>
        </w:rPr>
        <w:t>я</w:t>
      </w:r>
      <w:r w:rsidRPr="008F5DF8">
        <w:rPr>
          <w:rStyle w:val="a4"/>
          <w:b w:val="0"/>
          <w:bCs w:val="0"/>
        </w:rPr>
        <w:t xml:space="preserve"> результативності  регуляторного </w:t>
      </w:r>
      <w:proofErr w:type="spellStart"/>
      <w:r w:rsidRPr="008F5DF8">
        <w:rPr>
          <w:rStyle w:val="a4"/>
          <w:b w:val="0"/>
          <w:bCs w:val="0"/>
        </w:rPr>
        <w:t>акта</w:t>
      </w:r>
      <w:proofErr w:type="spellEnd"/>
      <w:r>
        <w:rPr>
          <w:rStyle w:val="a4"/>
          <w:b w:val="0"/>
          <w:bCs w:val="0"/>
        </w:rPr>
        <w:t xml:space="preserve"> не буде </w:t>
      </w:r>
      <w:proofErr w:type="spellStart"/>
      <w:r>
        <w:rPr>
          <w:rStyle w:val="a4"/>
          <w:b w:val="0"/>
          <w:bCs w:val="0"/>
        </w:rPr>
        <w:t>здійснюватись</w:t>
      </w:r>
      <w:proofErr w:type="spellEnd"/>
      <w:r>
        <w:rPr>
          <w:rStyle w:val="a4"/>
          <w:b w:val="0"/>
          <w:bCs w:val="0"/>
        </w:rPr>
        <w:t>.</w:t>
      </w:r>
      <w:r w:rsidRPr="008F5DF8">
        <w:rPr>
          <w:b/>
          <w:bCs/>
        </w:rPr>
        <w:t xml:space="preserve">  </w:t>
      </w:r>
    </w:p>
    <w:p w:rsidR="005219E5" w:rsidRPr="00511F3E" w:rsidRDefault="005219E5" w:rsidP="00EC49D1">
      <w:pPr>
        <w:ind w:firstLine="708"/>
        <w:jc w:val="both"/>
        <w:rPr>
          <w:sz w:val="28"/>
          <w:szCs w:val="28"/>
          <w:lang w:val="uk-UA"/>
        </w:rPr>
      </w:pPr>
    </w:p>
    <w:p w:rsidR="005219E5" w:rsidRPr="00511F3E" w:rsidRDefault="005219E5" w:rsidP="00511F3E">
      <w:pPr>
        <w:jc w:val="both"/>
        <w:rPr>
          <w:sz w:val="28"/>
          <w:szCs w:val="28"/>
          <w:lang w:val="uk-UA"/>
        </w:rPr>
      </w:pPr>
    </w:p>
    <w:p w:rsidR="005219E5" w:rsidRPr="00511F3E" w:rsidRDefault="005219E5" w:rsidP="00511F3E">
      <w:pPr>
        <w:jc w:val="both"/>
        <w:rPr>
          <w:sz w:val="28"/>
          <w:szCs w:val="28"/>
          <w:lang w:val="uk-UA"/>
        </w:rPr>
      </w:pPr>
    </w:p>
    <w:p w:rsidR="005219E5" w:rsidRPr="00EC49D1" w:rsidRDefault="005219E5" w:rsidP="00EC49D1">
      <w:pPr>
        <w:jc w:val="both"/>
        <w:rPr>
          <w:b/>
          <w:bCs/>
          <w:sz w:val="28"/>
          <w:szCs w:val="28"/>
          <w:lang w:val="uk-UA"/>
        </w:rPr>
      </w:pPr>
      <w:r w:rsidRPr="00EC49D1">
        <w:rPr>
          <w:b/>
          <w:bCs/>
          <w:sz w:val="28"/>
          <w:szCs w:val="28"/>
          <w:lang w:val="uk-UA"/>
        </w:rPr>
        <w:t xml:space="preserve">Сумський міський голова </w:t>
      </w:r>
      <w:r w:rsidRPr="00EC49D1">
        <w:rPr>
          <w:b/>
          <w:bCs/>
          <w:sz w:val="28"/>
          <w:szCs w:val="28"/>
          <w:lang w:val="uk-UA"/>
        </w:rPr>
        <w:tab/>
      </w:r>
      <w:r w:rsidRPr="00EC49D1">
        <w:rPr>
          <w:b/>
          <w:bCs/>
          <w:sz w:val="28"/>
          <w:szCs w:val="28"/>
          <w:lang w:val="uk-UA"/>
        </w:rPr>
        <w:tab/>
      </w:r>
      <w:r w:rsidRPr="00EC49D1">
        <w:rPr>
          <w:b/>
          <w:bCs/>
          <w:sz w:val="28"/>
          <w:szCs w:val="28"/>
          <w:lang w:val="uk-UA"/>
        </w:rPr>
        <w:tab/>
      </w:r>
      <w:r w:rsidRPr="00EC49D1">
        <w:rPr>
          <w:b/>
          <w:bCs/>
          <w:sz w:val="28"/>
          <w:szCs w:val="28"/>
          <w:lang w:val="uk-UA"/>
        </w:rPr>
        <w:tab/>
      </w:r>
      <w:r w:rsidRPr="00EC49D1">
        <w:rPr>
          <w:b/>
          <w:bCs/>
          <w:sz w:val="28"/>
          <w:szCs w:val="28"/>
          <w:lang w:val="uk-UA"/>
        </w:rPr>
        <w:tab/>
      </w:r>
      <w:r w:rsidRPr="00EC49D1">
        <w:rPr>
          <w:b/>
          <w:bCs/>
          <w:sz w:val="28"/>
          <w:szCs w:val="28"/>
          <w:lang w:val="uk-UA"/>
        </w:rPr>
        <w:tab/>
      </w:r>
      <w:r>
        <w:rPr>
          <w:b/>
          <w:bCs/>
          <w:sz w:val="28"/>
          <w:szCs w:val="28"/>
          <w:lang w:val="uk-UA"/>
        </w:rPr>
        <w:t xml:space="preserve">      </w:t>
      </w:r>
      <w:r w:rsidRPr="00EC49D1">
        <w:rPr>
          <w:b/>
          <w:bCs/>
          <w:sz w:val="28"/>
          <w:szCs w:val="28"/>
          <w:lang w:val="uk-UA"/>
        </w:rPr>
        <w:t>О.М. Лисенко</w:t>
      </w:r>
    </w:p>
    <w:p w:rsidR="005219E5" w:rsidRPr="00EC49D1" w:rsidRDefault="005219E5" w:rsidP="00EC49D1">
      <w:pPr>
        <w:jc w:val="both"/>
        <w:rPr>
          <w:b/>
          <w:bCs/>
          <w:sz w:val="28"/>
          <w:szCs w:val="28"/>
          <w:lang w:val="uk-UA"/>
        </w:rPr>
      </w:pPr>
    </w:p>
    <w:p w:rsidR="005219E5" w:rsidRPr="00EC49D1" w:rsidRDefault="005219E5" w:rsidP="00EC49D1">
      <w:pPr>
        <w:jc w:val="both"/>
        <w:rPr>
          <w:sz w:val="28"/>
          <w:szCs w:val="28"/>
          <w:lang w:val="uk-UA"/>
        </w:rPr>
      </w:pPr>
      <w:r w:rsidRPr="00EC49D1">
        <w:rPr>
          <w:sz w:val="28"/>
          <w:szCs w:val="28"/>
          <w:lang w:val="uk-UA"/>
        </w:rPr>
        <w:t>Липова С.А.</w:t>
      </w:r>
    </w:p>
    <w:p w:rsidR="005219E5" w:rsidRPr="00511F3E" w:rsidRDefault="005219E5" w:rsidP="00EC49D1">
      <w:pPr>
        <w:jc w:val="both"/>
        <w:rPr>
          <w:sz w:val="28"/>
          <w:szCs w:val="28"/>
          <w:lang w:val="uk-UA"/>
        </w:rPr>
      </w:pPr>
      <w:r w:rsidRPr="00EC49D1">
        <w:rPr>
          <w:sz w:val="28"/>
          <w:szCs w:val="28"/>
          <w:lang w:val="uk-UA"/>
        </w:rPr>
        <w:t>700-584</w:t>
      </w:r>
    </w:p>
    <w:sectPr w:rsidR="005219E5" w:rsidRPr="00511F3E" w:rsidSect="00152F4C">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7EE"/>
    <w:multiLevelType w:val="hybridMultilevel"/>
    <w:tmpl w:val="658C3448"/>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5D2F6A"/>
    <w:multiLevelType w:val="hybridMultilevel"/>
    <w:tmpl w:val="B2A275C2"/>
    <w:lvl w:ilvl="0" w:tplc="1BA035A6">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2DB4074F"/>
    <w:multiLevelType w:val="hybridMultilevel"/>
    <w:tmpl w:val="0BCC146E"/>
    <w:lvl w:ilvl="0" w:tplc="75DE4E10">
      <w:numFmt w:val="bullet"/>
      <w:lvlText w:val="-"/>
      <w:lvlJc w:val="left"/>
      <w:pPr>
        <w:tabs>
          <w:tab w:val="num" w:pos="1290"/>
        </w:tabs>
        <w:ind w:left="1290" w:hanging="75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03F"/>
    <w:rsid w:val="00023699"/>
    <w:rsid w:val="00112353"/>
    <w:rsid w:val="00127397"/>
    <w:rsid w:val="00152F4C"/>
    <w:rsid w:val="0019236D"/>
    <w:rsid w:val="00257DD7"/>
    <w:rsid w:val="00290AE8"/>
    <w:rsid w:val="00441DC6"/>
    <w:rsid w:val="0048149C"/>
    <w:rsid w:val="004B518F"/>
    <w:rsid w:val="00511F3E"/>
    <w:rsid w:val="00517362"/>
    <w:rsid w:val="005219E5"/>
    <w:rsid w:val="00557073"/>
    <w:rsid w:val="00562134"/>
    <w:rsid w:val="005B5847"/>
    <w:rsid w:val="0076362A"/>
    <w:rsid w:val="00767CDF"/>
    <w:rsid w:val="008F5DF8"/>
    <w:rsid w:val="00992795"/>
    <w:rsid w:val="009D5EE9"/>
    <w:rsid w:val="00A41028"/>
    <w:rsid w:val="00AC3C9B"/>
    <w:rsid w:val="00BC445A"/>
    <w:rsid w:val="00CD41D3"/>
    <w:rsid w:val="00CE00F3"/>
    <w:rsid w:val="00CF6CE5"/>
    <w:rsid w:val="00D0570F"/>
    <w:rsid w:val="00D33425"/>
    <w:rsid w:val="00E103CB"/>
    <w:rsid w:val="00E7303F"/>
    <w:rsid w:val="00E923D0"/>
    <w:rsid w:val="00EB500C"/>
    <w:rsid w:val="00EC49D1"/>
    <w:rsid w:val="00F1635C"/>
    <w:rsid w:val="00F278E3"/>
    <w:rsid w:val="00F847D9"/>
    <w:rsid w:val="00F912F0"/>
    <w:rsid w:val="00FE0D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67D749-6D83-4026-8A22-72AB091F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F4C"/>
    <w:rPr>
      <w:rFonts w:ascii="Times New Roman" w:eastAsia="Times New Roman" w:hAnsi="Times New Roman"/>
      <w:sz w:val="24"/>
      <w:szCs w:val="24"/>
    </w:rPr>
  </w:style>
  <w:style w:type="paragraph" w:styleId="1">
    <w:name w:val="heading 1"/>
    <w:basedOn w:val="a"/>
    <w:next w:val="a"/>
    <w:link w:val="10"/>
    <w:uiPriority w:val="99"/>
    <w:qFormat/>
    <w:rsid w:val="00EB500C"/>
    <w:pPr>
      <w:keepNext/>
      <w:outlineLvl w:val="0"/>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500C"/>
    <w:rPr>
      <w:rFonts w:ascii="Times New Roman" w:hAnsi="Times New Roman" w:cs="Times New Roman"/>
      <w:sz w:val="24"/>
      <w:szCs w:val="24"/>
      <w:lang w:val="uk-UA" w:eastAsia="ru-RU"/>
    </w:rPr>
  </w:style>
  <w:style w:type="paragraph" w:styleId="a3">
    <w:name w:val="Normal (Web)"/>
    <w:basedOn w:val="a"/>
    <w:uiPriority w:val="99"/>
    <w:semiHidden/>
    <w:rsid w:val="00EB500C"/>
    <w:pPr>
      <w:spacing w:before="100" w:beforeAutospacing="1" w:after="100" w:afterAutospacing="1"/>
    </w:pPr>
  </w:style>
  <w:style w:type="paragraph" w:customStyle="1" w:styleId="11">
    <w:name w:val="Абзац списка1"/>
    <w:basedOn w:val="a"/>
    <w:uiPriority w:val="99"/>
    <w:rsid w:val="00EB500C"/>
    <w:pPr>
      <w:spacing w:after="200" w:line="276" w:lineRule="auto"/>
      <w:ind w:left="720"/>
    </w:pPr>
    <w:rPr>
      <w:rFonts w:ascii="Calibri" w:hAnsi="Calibri" w:cs="Calibri"/>
      <w:sz w:val="22"/>
      <w:szCs w:val="22"/>
      <w:lang w:val="uk-UA" w:eastAsia="en-US"/>
    </w:rPr>
  </w:style>
  <w:style w:type="character" w:styleId="a4">
    <w:name w:val="Strong"/>
    <w:uiPriority w:val="99"/>
    <w:qFormat/>
    <w:rsid w:val="00EB500C"/>
    <w:rPr>
      <w:b/>
      <w:bCs/>
    </w:rPr>
  </w:style>
  <w:style w:type="paragraph" w:customStyle="1" w:styleId="a5">
    <w:name w:val="Знак Знак Знак Знак"/>
    <w:basedOn w:val="a"/>
    <w:uiPriority w:val="99"/>
    <w:rsid w:val="00E103CB"/>
    <w:rPr>
      <w:rFonts w:eastAsia="Calibri"/>
      <w:sz w:val="20"/>
      <w:szCs w:val="20"/>
      <w:lang w:val="en-US" w:eastAsia="en-US"/>
    </w:rPr>
  </w:style>
  <w:style w:type="paragraph" w:customStyle="1" w:styleId="12">
    <w:name w:val="Знак Знак Знак Знак1"/>
    <w:basedOn w:val="a"/>
    <w:uiPriority w:val="99"/>
    <w:rsid w:val="00F847D9"/>
    <w:rPr>
      <w:rFonts w:eastAsia="Calibr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941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525</Words>
  <Characters>2995</Characters>
  <Application>Microsoft Office Word</Application>
  <DocSecurity>0</DocSecurity>
  <Lines>24</Lines>
  <Paragraphs>7</Paragraphs>
  <ScaleCrop>false</ScaleCrop>
  <Company>Curnos™</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Катерина Олександрівна Д'яченко</cp:lastModifiedBy>
  <cp:revision>10</cp:revision>
  <cp:lastPrinted>2016-07-14T10:58:00Z</cp:lastPrinted>
  <dcterms:created xsi:type="dcterms:W3CDTF">2016-07-26T06:05:00Z</dcterms:created>
  <dcterms:modified xsi:type="dcterms:W3CDTF">2016-12-28T12:01:00Z</dcterms:modified>
</cp:coreProperties>
</file>