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1CB4A" w14:textId="10EAA0DD" w:rsidR="001F33F0" w:rsidRPr="006930EB" w:rsidRDefault="001F33F0" w:rsidP="001F33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Додаток </w:t>
      </w:r>
      <w:r w:rsidR="00CF2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14:paraId="2641CB4B" w14:textId="77777777" w:rsidR="001F33F0" w:rsidRPr="006930EB" w:rsidRDefault="001F33F0" w:rsidP="001F33F0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0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рішення виконавчого комітету Сумської міської ради</w:t>
      </w:r>
    </w:p>
    <w:p w14:paraId="2641CB4D" w14:textId="48652B7E" w:rsidR="001F33F0" w:rsidRPr="006930EB" w:rsidRDefault="009A6CED" w:rsidP="009A6CED">
      <w:pPr>
        <w:spacing w:after="0"/>
        <w:ind w:left="5670"/>
        <w:rPr>
          <w:rFonts w:ascii="Times New Roman" w:hAnsi="Times New Roman" w:cs="Times New Roman"/>
          <w:sz w:val="24"/>
        </w:rPr>
      </w:pPr>
      <w:r w:rsidRPr="009A6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 </w:t>
      </w:r>
      <w:r w:rsidR="00CF2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9A6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</w:p>
    <w:p w14:paraId="2641CB4E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41CB4F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0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1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2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3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4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5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6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7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8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9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A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0EB">
        <w:rPr>
          <w:rFonts w:ascii="Times New Roman" w:hAnsi="Times New Roman" w:cs="Times New Roman"/>
          <w:b/>
          <w:sz w:val="28"/>
          <w:szCs w:val="28"/>
        </w:rPr>
        <w:t xml:space="preserve">Графічний довідник </w:t>
      </w:r>
    </w:p>
    <w:p w14:paraId="2641CB5B" w14:textId="38D801EA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0EB">
        <w:rPr>
          <w:rFonts w:ascii="Times New Roman" w:hAnsi="Times New Roman" w:cs="Times New Roman"/>
          <w:b/>
          <w:sz w:val="28"/>
          <w:szCs w:val="28"/>
        </w:rPr>
        <w:t xml:space="preserve">щодо </w:t>
      </w:r>
      <w:bookmarkStart w:id="0" w:name="_GoBack"/>
      <w:r w:rsidRPr="006930EB">
        <w:rPr>
          <w:rFonts w:ascii="Times New Roman" w:hAnsi="Times New Roman" w:cs="Times New Roman"/>
          <w:b/>
          <w:sz w:val="28"/>
          <w:szCs w:val="28"/>
        </w:rPr>
        <w:t>розміщення спеціальних конструкцій на фасад</w:t>
      </w:r>
      <w:r w:rsidR="00C70488">
        <w:rPr>
          <w:rFonts w:ascii="Times New Roman" w:hAnsi="Times New Roman" w:cs="Times New Roman"/>
          <w:b/>
          <w:sz w:val="28"/>
          <w:szCs w:val="28"/>
        </w:rPr>
        <w:t>ах</w:t>
      </w:r>
      <w:r w:rsidRPr="006930EB">
        <w:rPr>
          <w:rFonts w:ascii="Times New Roman" w:hAnsi="Times New Roman" w:cs="Times New Roman"/>
          <w:b/>
          <w:sz w:val="28"/>
          <w:szCs w:val="28"/>
        </w:rPr>
        <w:t xml:space="preserve"> будинк</w:t>
      </w:r>
      <w:r w:rsidR="00C70488">
        <w:rPr>
          <w:rFonts w:ascii="Times New Roman" w:hAnsi="Times New Roman" w:cs="Times New Roman"/>
          <w:b/>
          <w:sz w:val="28"/>
          <w:szCs w:val="28"/>
        </w:rPr>
        <w:t>ів</w:t>
      </w:r>
      <w:r w:rsidRPr="006930EB">
        <w:rPr>
          <w:rFonts w:ascii="Times New Roman" w:hAnsi="Times New Roman" w:cs="Times New Roman"/>
          <w:b/>
          <w:sz w:val="28"/>
          <w:szCs w:val="28"/>
        </w:rPr>
        <w:t xml:space="preserve"> (будів</w:t>
      </w:r>
      <w:r w:rsidR="002900F2">
        <w:rPr>
          <w:rFonts w:ascii="Times New Roman" w:hAnsi="Times New Roman" w:cs="Times New Roman"/>
          <w:b/>
          <w:sz w:val="28"/>
          <w:szCs w:val="28"/>
        </w:rPr>
        <w:t>ель</w:t>
      </w:r>
      <w:r w:rsidRPr="006930EB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2641CB5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14:paraId="2641CB5D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2641CB5E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2641CB5F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60" w14:textId="77777777" w:rsidR="001F33F0" w:rsidRPr="006930EB" w:rsidRDefault="001F33F0" w:rsidP="001F33F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41CB61" w14:textId="77777777" w:rsidR="001F33F0" w:rsidRPr="006930EB" w:rsidRDefault="001F33F0" w:rsidP="001F33F0">
      <w:pPr>
        <w:ind w:firstLine="567"/>
        <w:rPr>
          <w:rFonts w:ascii="Times New Roman" w:hAnsi="Times New Roman" w:cs="Times New Roman"/>
          <w:b/>
          <w:sz w:val="24"/>
        </w:rPr>
      </w:pPr>
      <w:bookmarkStart w:id="1" w:name="_Toc466890644"/>
      <w:r w:rsidRPr="006930EB">
        <w:rPr>
          <w:rFonts w:ascii="Times New Roman" w:hAnsi="Times New Roman" w:cs="Times New Roman"/>
          <w:b/>
          <w:sz w:val="24"/>
        </w:rPr>
        <w:t>1.  Типи спеціальних конструкцій</w:t>
      </w:r>
      <w:bookmarkEnd w:id="1"/>
    </w:p>
    <w:p w14:paraId="2641CB62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2" w:name="_Toc466890645"/>
      <w:bookmarkStart w:id="3" w:name="_Toc476063970"/>
      <w:r w:rsidRPr="006930EB">
        <w:rPr>
          <w:sz w:val="24"/>
          <w:szCs w:val="28"/>
          <w:lang w:val="uk-UA"/>
        </w:rPr>
        <w:t>1.1.  Окремі літери (об'ємні або плоскі)</w:t>
      </w:r>
      <w:bookmarkEnd w:id="2"/>
      <w:bookmarkEnd w:id="3"/>
    </w:p>
    <w:p w14:paraId="2641CB63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Головна відмінність між об’ємними та плоскими літерами – наявність чи відсутність  у символів бокової та задньої стінки. Плоскі літери виготовляються лише з лицевого матеріалу.</w:t>
      </w:r>
    </w:p>
    <w:p w14:paraId="2641CB64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Зазвичай об'ємні літери закріплюються безпосередньо на фасаді будівлі або на площині, що є частиною спеціальної конструкції (прозора, у колір фасаду та інше).</w:t>
      </w:r>
    </w:p>
    <w:p w14:paraId="2641CB65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Плоскі літери, для створення ефекту об’ємності та за наявності можливостей, закріплюються на певній відстані від фасаду або площини (на стійках).</w:t>
      </w:r>
    </w:p>
    <w:p w14:paraId="2641CB66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В обох випадках відстань від поверхні, на якій встановлено РЗ, не повинна перевищувати 200 мм до лицевої  поверхні спеціальної конструкції.</w:t>
      </w:r>
    </w:p>
    <w:p w14:paraId="2641CB67" w14:textId="77777777" w:rsidR="001F33F0" w:rsidRPr="006930EB" w:rsidRDefault="001F33F0" w:rsidP="001F33F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8"/>
        </w:rPr>
      </w:pPr>
    </w:p>
    <w:p w14:paraId="2641CB6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84" wp14:editId="2641CC85">
            <wp:extent cx="4791075" cy="3867150"/>
            <wp:effectExtent l="0" t="0" r="9525" b="0"/>
            <wp:docPr id="109" name="Рисунок 109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1-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6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6A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6B" w14:textId="77777777" w:rsidR="001F33F0" w:rsidRPr="006930EB" w:rsidRDefault="001F33F0" w:rsidP="001F33F0">
      <w:pPr>
        <w:pStyle w:val="2"/>
        <w:ind w:firstLine="567"/>
        <w:rPr>
          <w:sz w:val="24"/>
          <w:szCs w:val="28"/>
          <w:lang w:val="uk-UA"/>
        </w:rPr>
      </w:pPr>
      <w:bookmarkStart w:id="4" w:name="_Toc466890646"/>
      <w:bookmarkStart w:id="5" w:name="_Toc476063971"/>
      <w:r w:rsidRPr="006930EB">
        <w:rPr>
          <w:sz w:val="24"/>
          <w:szCs w:val="28"/>
          <w:lang w:val="uk-UA"/>
        </w:rPr>
        <w:lastRenderedPageBreak/>
        <w:t>1.2.  Окремі літери на основі / площині</w:t>
      </w:r>
      <w:bookmarkEnd w:id="4"/>
      <w:bookmarkEnd w:id="5"/>
    </w:p>
    <w:p w14:paraId="2641CB6C" w14:textId="77777777" w:rsidR="001F33F0" w:rsidRPr="006930EB" w:rsidRDefault="001F33F0" w:rsidP="001F33F0">
      <w:pPr>
        <w:pStyle w:val="11"/>
        <w:spacing w:after="0"/>
        <w:ind w:left="0" w:firstLine="567"/>
        <w:jc w:val="both"/>
        <w:rPr>
          <w:rFonts w:ascii="Times New Roman" w:hAnsi="Times New Roman"/>
          <w:sz w:val="24"/>
          <w:szCs w:val="28"/>
          <w:lang w:val="uk-UA"/>
        </w:rPr>
      </w:pPr>
      <w:r w:rsidRPr="006930EB">
        <w:rPr>
          <w:rFonts w:ascii="Times New Roman" w:hAnsi="Times New Roman"/>
          <w:sz w:val="24"/>
          <w:szCs w:val="28"/>
          <w:lang w:val="uk-UA"/>
        </w:rPr>
        <w:t>Об’ємні або псевдо-об’ємні символи вважаються такими, якщо закріплені на площині або коробі прямокутної чи довільної форми.</w:t>
      </w:r>
    </w:p>
    <w:p w14:paraId="2641CB6D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На коробі може бути розміщена додаткова інформація. Короб може бути обладнано підсвічуванням, але фронтальна панель повинна бути виготовлена з світлонепроникного матеріалу. Підсвічуватися можуть лише окремі елементи, а не вся фронтальна панель.</w:t>
      </w:r>
    </w:p>
    <w:p w14:paraId="2641CB6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6F" w14:textId="77777777" w:rsidR="001F33F0" w:rsidRPr="006930EB" w:rsidRDefault="001F33F0" w:rsidP="001F33F0">
      <w:pPr>
        <w:pStyle w:val="11"/>
        <w:spacing w:after="0" w:line="240" w:lineRule="auto"/>
        <w:ind w:left="0"/>
        <w:jc w:val="center"/>
        <w:rPr>
          <w:rFonts w:ascii="Times New Roman" w:hAnsi="Times New Roman"/>
          <w:sz w:val="24"/>
          <w:szCs w:val="28"/>
          <w:lang w:val="uk-UA"/>
        </w:rPr>
      </w:pPr>
      <w:r w:rsidRPr="006930EB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2641CC86" wp14:editId="2641CC87">
            <wp:extent cx="5695950" cy="2085975"/>
            <wp:effectExtent l="0" t="0" r="0" b="9525"/>
            <wp:docPr id="108" name="Рисунок 108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1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70" w14:textId="77777777" w:rsidR="001F33F0" w:rsidRPr="006930EB" w:rsidRDefault="001F33F0" w:rsidP="001F33F0">
      <w:pPr>
        <w:pStyle w:val="11"/>
        <w:spacing w:after="0" w:line="240" w:lineRule="auto"/>
        <w:ind w:left="0"/>
        <w:rPr>
          <w:rFonts w:ascii="Times New Roman" w:hAnsi="Times New Roman"/>
          <w:sz w:val="24"/>
          <w:szCs w:val="28"/>
          <w:lang w:val="uk-UA"/>
        </w:rPr>
      </w:pPr>
    </w:p>
    <w:p w14:paraId="2641CB71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2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6" w:name="_Toc466890647"/>
      <w:bookmarkStart w:id="7" w:name="_Toc476063972"/>
      <w:r w:rsidRPr="006930EB">
        <w:rPr>
          <w:sz w:val="24"/>
          <w:szCs w:val="28"/>
          <w:lang w:val="uk-UA"/>
        </w:rPr>
        <w:t>1.3.  Лайтбокси з об'ємним або плоским рішенням лицевої сторони</w:t>
      </w:r>
      <w:bookmarkEnd w:id="6"/>
      <w:bookmarkEnd w:id="7"/>
    </w:p>
    <w:p w14:paraId="2641CB7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Лайтбокс – короб, обладнаний внутрішнім підсвічуванням.</w:t>
      </w:r>
    </w:p>
    <w:p w14:paraId="2641CB7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Фронтальна сторона короба виготовлена зі світлопроникного матеріалу, на яку, за допомогою аплікації, друку, або із застосуванням об'ємних елементів, нанесено рекламну інформацію. </w:t>
      </w:r>
    </w:p>
    <w:p w14:paraId="2641CB75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Лайтбокс може бути прямокутної, круглої, овальної або іншої довільної форми.</w:t>
      </w:r>
    </w:p>
    <w:p w14:paraId="2641CB7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88" wp14:editId="2641CC89">
            <wp:extent cx="5705475" cy="3867150"/>
            <wp:effectExtent l="0" t="0" r="9525" b="0"/>
            <wp:docPr id="107" name="Рисунок 107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1-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77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r w:rsidRPr="006930EB">
        <w:rPr>
          <w:sz w:val="24"/>
          <w:szCs w:val="28"/>
          <w:lang w:val="uk-UA"/>
        </w:rPr>
        <w:br w:type="page"/>
      </w:r>
      <w:bookmarkStart w:id="8" w:name="_Toc466890648"/>
      <w:bookmarkStart w:id="9" w:name="_Toc476063973"/>
      <w:r w:rsidRPr="006930EB">
        <w:rPr>
          <w:sz w:val="24"/>
          <w:szCs w:val="28"/>
          <w:lang w:val="uk-UA"/>
        </w:rPr>
        <w:lastRenderedPageBreak/>
        <w:t>1.4.  Композиційні рішення</w:t>
      </w:r>
      <w:bookmarkEnd w:id="8"/>
      <w:bookmarkEnd w:id="9"/>
    </w:p>
    <w:p w14:paraId="2641CB78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Композиційні рішення – варіативні поєднання об'ємних або плоских символів з лайтбоксами або декоративними елементами.</w:t>
      </w:r>
    </w:p>
    <w:p w14:paraId="2641CB7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8A" wp14:editId="2641CC8B">
            <wp:extent cx="5076825" cy="2867025"/>
            <wp:effectExtent l="0" t="0" r="9525" b="9525"/>
            <wp:docPr id="106" name="Рисунок 106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-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7B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D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F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930EB">
        <w:rPr>
          <w:rFonts w:ascii="Times New Roman" w:hAnsi="Times New Roman" w:cs="Times New Roman"/>
          <w:b/>
          <w:sz w:val="24"/>
          <w:szCs w:val="28"/>
        </w:rPr>
        <w:t>1.5.  Спеціальні конструкції, виконані розписом, ліпкою або мозаїкою</w:t>
      </w:r>
    </w:p>
    <w:p w14:paraId="2641CB80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B81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Спеціальні конструкції, виконані розписом, ліпкою або мозаїкою виконуються безпосередньо на фасаді будівлі.</w:t>
      </w:r>
    </w:p>
    <w:p w14:paraId="2641CB82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B8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8C" wp14:editId="2641CC8D">
            <wp:extent cx="4086225" cy="1590675"/>
            <wp:effectExtent l="0" t="0" r="9525" b="9525"/>
            <wp:docPr id="105" name="Рисунок 105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1-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84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5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6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7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8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9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A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B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C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D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E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F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10" w:name="_Toc466890649"/>
      <w:bookmarkStart w:id="11" w:name="_Toc476063974"/>
      <w:r w:rsidRPr="006930EB">
        <w:rPr>
          <w:rFonts w:ascii="Times New Roman" w:hAnsi="Times New Roman" w:cs="Times New Roman"/>
          <w:sz w:val="24"/>
          <w:lang w:val="uk-UA"/>
        </w:rPr>
        <w:lastRenderedPageBreak/>
        <w:t>2.  Правила розміщення</w:t>
      </w:r>
      <w:bookmarkEnd w:id="10"/>
      <w:bookmarkEnd w:id="11"/>
    </w:p>
    <w:p w14:paraId="2641CB90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12" w:name="_Toc466890650"/>
      <w:bookmarkStart w:id="13" w:name="_Toc476063975"/>
      <w:r w:rsidRPr="006930EB">
        <w:rPr>
          <w:sz w:val="24"/>
          <w:szCs w:val="28"/>
          <w:lang w:val="uk-UA"/>
        </w:rPr>
        <w:t>2.1.  Розміщення спеціальних конструкцій на фасаді</w:t>
      </w:r>
      <w:bookmarkEnd w:id="12"/>
      <w:bookmarkEnd w:id="13"/>
    </w:p>
    <w:p w14:paraId="2641CB91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Спеціальні конструкції встановлюються над, або з боків віконних та дверних отворів безпосередньо на частині фасаду закладу, вільному від декоративних елементів. </w:t>
      </w:r>
    </w:p>
    <w:p w14:paraId="2641CB92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Встановлюються спеціальні конструкції на першому (між першим та другим) або цокольному поверхах. </w:t>
      </w:r>
    </w:p>
    <w:p w14:paraId="2641CB93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Виключні випадки: </w:t>
      </w:r>
    </w:p>
    <w:p w14:paraId="2641CB94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коли це передбачено паспортом фасаду; якщо споруда – торговельно-розважальний центр;</w:t>
      </w:r>
    </w:p>
    <w:p w14:paraId="2641CB95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якщо торгівельні площі в житловому будинку займають 2 та більше поверхів;</w:t>
      </w:r>
    </w:p>
    <w:p w14:paraId="2641CB96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- якщо на правах оренди чи власності суб’єкту належить ціла будівля. </w:t>
      </w:r>
    </w:p>
    <w:p w14:paraId="2641CB97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має бути розташована симетрично відносно до елементів фасаду, або має бути взаємоузгоджена з ними, наслідувати горизонтальну вісь вже існуючих спеціальних конструкцій.</w:t>
      </w:r>
    </w:p>
    <w:p w14:paraId="2641CB98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99" w14:textId="77777777" w:rsidR="001F33F0" w:rsidRPr="006930EB" w:rsidRDefault="001F33F0" w:rsidP="001F33F0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8E" wp14:editId="2641CC8F">
            <wp:extent cx="4591050" cy="2514600"/>
            <wp:effectExtent l="0" t="0" r="0" b="0"/>
            <wp:docPr id="104" name="Рисунок 104" descr="2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2-1-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9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має бути встановлена симетрично відносно фасаду або взаємоузгоджена</w:t>
      </w:r>
    </w:p>
    <w:p w14:paraId="2641CB9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 з його елементами</w:t>
      </w:r>
    </w:p>
    <w:p w14:paraId="2641CB9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14:paraId="2641CB9D" w14:textId="77777777" w:rsidR="001F33F0" w:rsidRPr="006930EB" w:rsidRDefault="001F33F0" w:rsidP="001F33F0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90" wp14:editId="2641CC91">
            <wp:extent cx="4524375" cy="2533650"/>
            <wp:effectExtent l="0" t="0" r="9525" b="0"/>
            <wp:docPr id="103" name="Рисунок 103" descr="2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2-1-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9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Спеціальна конструкція має бути встановлена симетрично відносно фасаду, або бути </w:t>
      </w:r>
    </w:p>
    <w:p w14:paraId="2641CB9F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взаємоузгоджена з його,  елементами, наслідувати горизонтальну</w:t>
      </w:r>
    </w:p>
    <w:p w14:paraId="2641CBA0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вісь сусідніх спеціальних конструкцій</w:t>
      </w:r>
    </w:p>
    <w:p w14:paraId="2641CBA1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6930EB">
        <w:rPr>
          <w:rFonts w:ascii="Times New Roman" w:hAnsi="Times New Roman" w:cs="Times New Roman"/>
          <w:i/>
          <w:sz w:val="24"/>
          <w:szCs w:val="28"/>
        </w:rPr>
        <w:br w:type="page"/>
      </w:r>
      <w:bookmarkStart w:id="14" w:name="_Toc466890651"/>
      <w:r w:rsidRPr="006930EB">
        <w:rPr>
          <w:rFonts w:ascii="Times New Roman" w:hAnsi="Times New Roman" w:cs="Times New Roman"/>
          <w:b/>
          <w:sz w:val="24"/>
          <w:szCs w:val="28"/>
        </w:rPr>
        <w:lastRenderedPageBreak/>
        <w:t>2.1.1  Типові помилки при розміщені спеціальних конструкцій на фасаді</w:t>
      </w:r>
      <w:bookmarkEnd w:id="14"/>
    </w:p>
    <w:p w14:paraId="2641CBA2" w14:textId="77777777" w:rsidR="001F33F0" w:rsidRPr="006930EB" w:rsidRDefault="001F33F0" w:rsidP="001F33F0">
      <w:pPr>
        <w:ind w:firstLine="567"/>
        <w:jc w:val="both"/>
        <w:rPr>
          <w:rFonts w:ascii="Times New Roman" w:hAnsi="Times New Roman" w:cs="Times New Roman"/>
        </w:rPr>
      </w:pPr>
    </w:p>
    <w:p w14:paraId="2641CBA3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Спеціальні конструкції не можуть перекривати елементи декору фасаду, адресні та пам'ятні таблички, інженерні комунікації або обмежувати доступ до них. </w:t>
      </w:r>
    </w:p>
    <w:p w14:paraId="2641CBA4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Перекривати віконні або дверні отвори (окрім норми розміщення безпосередньо в отворах), перекривати балкони, карнизи, ніші, арки тощо.</w:t>
      </w:r>
    </w:p>
    <w:p w14:paraId="2641CBA5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A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92" wp14:editId="2641CC93">
            <wp:extent cx="5067300" cy="2743200"/>
            <wp:effectExtent l="0" t="0" r="0" b="0"/>
            <wp:docPr id="102" name="Рисунок 102" descr="2-1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2-1-1-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A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має бути встановлена симетрично відносно фасаду, або взаємоузгоджена</w:t>
      </w:r>
    </w:p>
    <w:p w14:paraId="2641CBA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 його елементами. Спеціальної конструкції не можуть перекривати адресні таблички</w:t>
      </w:r>
    </w:p>
    <w:p w14:paraId="2641CBA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14:paraId="2641CBA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94" wp14:editId="2641CC95">
            <wp:extent cx="5048250" cy="2733675"/>
            <wp:effectExtent l="0" t="0" r="0" b="9525"/>
            <wp:docPr id="101" name="Рисунок 101" descr="2-1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2-1-1-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A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Спеціальна конструкція має бути встановлена симетрично відносно фасаду, або бути взаємоузгоджена </w:t>
      </w:r>
    </w:p>
    <w:p w14:paraId="2641CBA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 його елементами, наслідувати горизонтальну вісь існуючих спеціальних конструкцій</w:t>
      </w:r>
    </w:p>
    <w:p w14:paraId="2641CBAD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6930EB"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2641CBAE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15" w:name="_Toc466890652"/>
      <w:bookmarkStart w:id="16" w:name="_Toc476063976"/>
      <w:r w:rsidRPr="006930EB">
        <w:rPr>
          <w:sz w:val="24"/>
          <w:szCs w:val="28"/>
          <w:lang w:val="uk-UA"/>
        </w:rPr>
        <w:lastRenderedPageBreak/>
        <w:t>2.2.  Масштаб спеціальних конструкцій, вільний простір</w:t>
      </w:r>
      <w:bookmarkEnd w:id="15"/>
      <w:bookmarkEnd w:id="16"/>
    </w:p>
    <w:p w14:paraId="2641CBAF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не може займати весь вільний простір фасаду, навіть за наявності місць вільних від декоративних елементів.</w:t>
      </w:r>
    </w:p>
    <w:p w14:paraId="2641CBB0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Бажаним слід вважати масштаб 4/6 відносно площини, на яку встановлюється спеціальна конструкція. При цьому деякі елементи, як логотип, знак, великі літери в написі та деякі частини художньо-декоративних елементів, можуть займати до 14/16 вільного простору.</w:t>
      </w:r>
    </w:p>
    <w:p w14:paraId="2641CBB1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1CC96" wp14:editId="2641CC97">
                <wp:simplePos x="0" y="0"/>
                <wp:positionH relativeFrom="column">
                  <wp:posOffset>704215</wp:posOffset>
                </wp:positionH>
                <wp:positionV relativeFrom="paragraph">
                  <wp:posOffset>31115</wp:posOffset>
                </wp:positionV>
                <wp:extent cx="5581650" cy="422910"/>
                <wp:effectExtent l="12700" t="6985" r="6350" b="8255"/>
                <wp:wrapNone/>
                <wp:docPr id="110" name="Прямокут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CCE0" w14:textId="77777777" w:rsidR="001F33F0" w:rsidRPr="00BA39AC" w:rsidRDefault="001F33F0" w:rsidP="001F33F0">
                            <w:r>
                              <w:t>Приклад співвідношення спеціальної конструкції до площини на яку вона встановлюється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1CC96" id="Прямокутник 110" o:spid="_x0000_s1026" style="position:absolute;margin-left:55.45pt;margin-top:2.45pt;width:439.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" strokecolor="white">
                <v:textbox>
                  <w:txbxContent>
                    <w:p w14:paraId="2641CCE0" w14:textId="77777777" w:rsidR="001F33F0" w:rsidRPr="00BA39AC" w:rsidRDefault="001F33F0" w:rsidP="001F33F0">
                      <w:r>
                        <w:t>Приклад співвідношення спеціальної конструкції до площини на яку вона встановлюється</w:t>
                      </w:r>
                    </w:p>
                  </w:txbxContent>
                </v:textbox>
              </v:rect>
            </w:pict>
          </mc:Fallback>
        </mc:AlternateContent>
      </w:r>
    </w:p>
    <w:p w14:paraId="2641CBB2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98" wp14:editId="2641CC99">
            <wp:extent cx="5534025" cy="2762250"/>
            <wp:effectExtent l="0" t="0" r="9525" b="0"/>
            <wp:docPr id="100" name="Рисунок 100" descr="2-2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2-2-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B3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9A" wp14:editId="2641CC9B">
            <wp:extent cx="5524500" cy="2752725"/>
            <wp:effectExtent l="0" t="0" r="0" b="9525"/>
            <wp:docPr id="99" name="Рисунок 99" descr="2-2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2-2-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B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930EB">
        <w:rPr>
          <w:rFonts w:ascii="Times New Roman" w:hAnsi="Times New Roman" w:cs="Times New Roman"/>
          <w:i/>
          <w:sz w:val="20"/>
          <w:szCs w:val="20"/>
        </w:rPr>
        <w:t>Бажаним слід вважати масштаб 4/6 відносно площини, на яку встановлюється спеціальна конструкція,</w:t>
      </w:r>
    </w:p>
    <w:p w14:paraId="2641CBB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930EB">
        <w:rPr>
          <w:rFonts w:ascii="Times New Roman" w:hAnsi="Times New Roman" w:cs="Times New Roman"/>
          <w:i/>
          <w:sz w:val="20"/>
          <w:szCs w:val="20"/>
        </w:rPr>
        <w:t>при цьому деякі елементи, як логотип, знак, великі літери в написі та деякі частини</w:t>
      </w:r>
    </w:p>
    <w:p w14:paraId="2641CBB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930EB">
        <w:rPr>
          <w:rFonts w:ascii="Times New Roman" w:hAnsi="Times New Roman" w:cs="Times New Roman"/>
          <w:i/>
          <w:sz w:val="20"/>
          <w:szCs w:val="20"/>
        </w:rPr>
        <w:t>художньо-декоративних елементів, можуть займати  до 14/16 вільного простору</w:t>
      </w:r>
    </w:p>
    <w:p w14:paraId="2641CBB7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B8" w14:textId="77777777" w:rsidR="001F33F0" w:rsidRPr="006930EB" w:rsidRDefault="001F33F0" w:rsidP="001F33F0">
      <w:pPr>
        <w:pStyle w:val="3"/>
        <w:ind w:firstLine="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bookmarkStart w:id="17" w:name="_Toc466890653"/>
      <w:bookmarkStart w:id="18" w:name="_Toc476063977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2.2.1.  Типові помилки масштабування та розміщення спеціальних конструкцій</w:t>
      </w:r>
      <w:bookmarkEnd w:id="17"/>
      <w:bookmarkEnd w:id="18"/>
    </w:p>
    <w:p w14:paraId="2641CBB9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BBA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не може частково або повністю  перекривати декоративні елементи фасаду, виходити за межі фасаду, частково або повністю перекривати вікна, двері. Ігнорувати правила вільного простору.</w:t>
      </w:r>
    </w:p>
    <w:p w14:paraId="2641CBBB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71"/>
        <w:gridCol w:w="2784"/>
      </w:tblGrid>
      <w:tr w:rsidR="001F33F0" w:rsidRPr="006930EB" w14:paraId="2641CBBE" w14:textId="77777777" w:rsidTr="00E04A63">
        <w:tc>
          <w:tcPr>
            <w:tcW w:w="6912" w:type="dxa"/>
          </w:tcPr>
          <w:p w14:paraId="2641CBBC" w14:textId="77777777" w:rsidR="001F33F0" w:rsidRPr="006930EB" w:rsidRDefault="001F33F0" w:rsidP="00E04A63">
            <w:pPr>
              <w:spacing w:before="240"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9C" wp14:editId="2641CC9D">
                  <wp:extent cx="3600450" cy="1657350"/>
                  <wp:effectExtent l="0" t="0" r="0" b="0"/>
                  <wp:docPr id="98" name="Рисунок 98" descr="2-2-1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2-2-1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641CBBD" w14:textId="77777777" w:rsidR="001F33F0" w:rsidRPr="006930EB" w:rsidRDefault="001F33F0" w:rsidP="00E04A63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Забороняється ігнорувати правила масштабування (п.2.2)</w:t>
            </w:r>
          </w:p>
        </w:tc>
      </w:tr>
      <w:tr w:rsidR="001F33F0" w:rsidRPr="006930EB" w14:paraId="2641CBC1" w14:textId="77777777" w:rsidTr="00E04A63">
        <w:tc>
          <w:tcPr>
            <w:tcW w:w="6912" w:type="dxa"/>
          </w:tcPr>
          <w:p w14:paraId="2641CBBF" w14:textId="77777777" w:rsidR="001F33F0" w:rsidRPr="006930EB" w:rsidRDefault="001F33F0" w:rsidP="00E04A63">
            <w:pPr>
              <w:spacing w:before="240"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9E" wp14:editId="2641CC9F">
                  <wp:extent cx="3609975" cy="1714500"/>
                  <wp:effectExtent l="0" t="0" r="9525" b="0"/>
                  <wp:docPr id="97" name="Рисунок 97" descr="2-2-1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2-2-1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641CBC0" w14:textId="77777777" w:rsidR="001F33F0" w:rsidRPr="006930EB" w:rsidRDefault="001F33F0" w:rsidP="00E04A63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Спеціальна конструкція не може виходити за межі фасаду. Забороняється сусідство спеціальних конструкцій на площині з спеціальна конструкціями окремими літерами.</w:t>
            </w:r>
          </w:p>
        </w:tc>
      </w:tr>
      <w:tr w:rsidR="001F33F0" w:rsidRPr="006930EB" w14:paraId="2641CBC4" w14:textId="77777777" w:rsidTr="00E04A63">
        <w:tc>
          <w:tcPr>
            <w:tcW w:w="6912" w:type="dxa"/>
          </w:tcPr>
          <w:p w14:paraId="2641CBC2" w14:textId="77777777" w:rsidR="001F33F0" w:rsidRPr="006930EB" w:rsidRDefault="001F33F0" w:rsidP="00E04A63">
            <w:pPr>
              <w:spacing w:before="240"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A0" wp14:editId="2641CCA1">
                  <wp:extent cx="3609975" cy="1781175"/>
                  <wp:effectExtent l="0" t="0" r="9525" b="9525"/>
                  <wp:docPr id="96" name="Рисунок 96" descr="2-2-1-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2-2-1-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641CBC3" w14:textId="77777777" w:rsidR="001F33F0" w:rsidRPr="006930EB" w:rsidRDefault="001F33F0" w:rsidP="00E04A63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Спеціальна конструкція не може частково або повністю  перекривати віконні та дверні отвори</w:t>
            </w:r>
          </w:p>
        </w:tc>
      </w:tr>
      <w:tr w:rsidR="001F33F0" w:rsidRPr="006930EB" w14:paraId="2641CBC7" w14:textId="77777777" w:rsidTr="00E04A63">
        <w:tc>
          <w:tcPr>
            <w:tcW w:w="6912" w:type="dxa"/>
          </w:tcPr>
          <w:p w14:paraId="2641CBC5" w14:textId="77777777" w:rsidR="001F33F0" w:rsidRPr="006930EB" w:rsidRDefault="001F33F0" w:rsidP="00E04A63">
            <w:pPr>
              <w:spacing w:before="240"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A2" wp14:editId="2641CCA3">
                  <wp:extent cx="3600450" cy="1809750"/>
                  <wp:effectExtent l="0" t="0" r="0" b="0"/>
                  <wp:docPr id="95" name="Рисунок 95" descr="2-2-1-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2-2-1-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641CBC6" w14:textId="77777777" w:rsidR="001F33F0" w:rsidRPr="006930EB" w:rsidRDefault="001F33F0" w:rsidP="00E04A63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Спеціальна конструкція не може частково або повністю  перекривати декоративні елементи фасаду</w:t>
            </w:r>
          </w:p>
        </w:tc>
      </w:tr>
    </w:tbl>
    <w:p w14:paraId="2641CBC8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C9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19" w:name="_Toc466890654"/>
      <w:bookmarkStart w:id="20" w:name="_Toc476063978"/>
      <w:r w:rsidRPr="006930EB">
        <w:rPr>
          <w:sz w:val="24"/>
          <w:szCs w:val="28"/>
          <w:lang w:val="uk-UA"/>
        </w:rPr>
        <w:lastRenderedPageBreak/>
        <w:t>2.3.  Спеціальної конструкції у віконних та дверних отворах</w:t>
      </w:r>
      <w:bookmarkEnd w:id="19"/>
      <w:bookmarkEnd w:id="20"/>
    </w:p>
    <w:p w14:paraId="2641CBCA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у віконному або дверному отворі розміщується лише за умови, якщо оздоблення фасаду, або інші фактори заважають її розміщенню безпосередньо на фасаді.</w:t>
      </w:r>
    </w:p>
    <w:p w14:paraId="2641CBCB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Встановлення спеціальної конструкції безпосередньо у віконному чи дверному отворі із зовнішнього боку будівлі можливе лише за умови, якщо вона не перекриватиме їх більше, ніж на 35%.</w:t>
      </w:r>
    </w:p>
    <w:p w14:paraId="2641CBCC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Така спеціальна конструкція може бути виконана, як на основі, так і окремими літерами, та в обох випадках не може перекривати отвір більш, ніж на 35%.</w:t>
      </w:r>
    </w:p>
    <w:p w14:paraId="2641CBCD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не може виступати за межі прорізу у будь-яких напрямках, має наслідувати горизонтальну вісь сусідніх спеціальних конструкцій</w:t>
      </w:r>
    </w:p>
    <w:p w14:paraId="2641CBC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CF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A4" wp14:editId="2641CCA5">
            <wp:extent cx="4848225" cy="2409825"/>
            <wp:effectExtent l="0" t="0" r="9525" b="9525"/>
            <wp:docPr id="94" name="Рисунок 94" descr="2-3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2-3-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D0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розміщена у прорізі не виходячи за його межі</w:t>
      </w:r>
    </w:p>
    <w:p w14:paraId="2641CBD1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14:paraId="2641CBD2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A6" wp14:editId="2641CCA7">
            <wp:extent cx="4800600" cy="2362200"/>
            <wp:effectExtent l="0" t="0" r="0" b="0"/>
            <wp:docPr id="93" name="Рисунок 93" descr="2-3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2-3-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D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розміщена у прорізі не виходячи за його межі, наслідує горизонтальну</w:t>
      </w:r>
    </w:p>
    <w:p w14:paraId="2641CBD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вісь сусідніх спеціальних конструкцій</w:t>
      </w:r>
    </w:p>
    <w:p w14:paraId="2641CBD5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6930EB"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2641CBD6" w14:textId="77777777" w:rsidR="001F33F0" w:rsidRPr="006930EB" w:rsidRDefault="001F33F0" w:rsidP="001F33F0">
      <w:pPr>
        <w:pStyle w:val="3"/>
        <w:ind w:firstLine="567"/>
        <w:rPr>
          <w:rFonts w:ascii="Times New Roman" w:hAnsi="Times New Roman" w:cs="Times New Roman"/>
          <w:sz w:val="24"/>
          <w:szCs w:val="28"/>
          <w:lang w:val="uk-UA"/>
        </w:rPr>
      </w:pPr>
      <w:bookmarkStart w:id="21" w:name="_Toc466890655"/>
      <w:bookmarkStart w:id="22" w:name="_Toc476063979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2.3.1.  Типові помилки при розміщені спеціальних конструкцій у отворах</w:t>
      </w:r>
      <w:bookmarkEnd w:id="21"/>
      <w:bookmarkEnd w:id="22"/>
    </w:p>
    <w:p w14:paraId="2641CBD7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D8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A8" wp14:editId="2641CCA9">
            <wp:extent cx="5181600" cy="2581275"/>
            <wp:effectExtent l="0" t="0" r="0" b="9525"/>
            <wp:docPr id="92" name="Рисунок 92" descr="2-3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2-3-1-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D9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виходить за межі отвору. Спеціальна конструкція перекриває отвір більш ніж на 35%</w:t>
      </w:r>
    </w:p>
    <w:p w14:paraId="2641CBD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BDB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AA" wp14:editId="2641CCAB">
            <wp:extent cx="5067300" cy="2495550"/>
            <wp:effectExtent l="0" t="0" r="0" b="0"/>
            <wp:docPr id="91" name="Рисунок 91" descr="2-3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2-3-1-б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D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не узгоджена з типом та формою існуючих спеціальних конструкцій, не наслідує</w:t>
      </w:r>
    </w:p>
    <w:p w14:paraId="2641CBD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горизонтальну вісь</w:t>
      </w:r>
    </w:p>
    <w:p w14:paraId="2641CBDE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DF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23" w:name="_Toc466890656"/>
      <w:bookmarkStart w:id="24" w:name="_Toc476063980"/>
      <w:r w:rsidRPr="006930EB">
        <w:rPr>
          <w:sz w:val="24"/>
          <w:szCs w:val="28"/>
          <w:lang w:val="uk-UA"/>
        </w:rPr>
        <w:lastRenderedPageBreak/>
        <w:t>2.4.  Розміщення спеціальних конструкцій над аркою</w:t>
      </w:r>
      <w:bookmarkEnd w:id="23"/>
      <w:bookmarkEnd w:id="24"/>
    </w:p>
    <w:p w14:paraId="2641CBE0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Дозволяється встановлювати спеціальну конструкцію над аркою, за умови, що  вона не перекриває декоративні елементи фасаду. </w:t>
      </w:r>
    </w:p>
    <w:p w14:paraId="2641CBE1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Якщо за аркою знаходяться два та більше закладів, поруч із аркою встановлюються набірні покажчики.</w:t>
      </w:r>
    </w:p>
    <w:p w14:paraId="2641CBE2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E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AC" wp14:editId="2641CCAD">
            <wp:extent cx="4933950" cy="2419350"/>
            <wp:effectExtent l="0" t="0" r="0" b="0"/>
            <wp:docPr id="90" name="Рисунок 90" descr="2-4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2-4-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E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Дозволяється лише одна спеціальна конструкція над аркою</w:t>
      </w:r>
    </w:p>
    <w:p w14:paraId="2641CBE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</w:p>
    <w:p w14:paraId="2641CBE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AE" wp14:editId="2641CCAF">
            <wp:extent cx="4886325" cy="2390775"/>
            <wp:effectExtent l="0" t="0" r="9525" b="9525"/>
            <wp:docPr id="89" name="Рисунок 89" descr="2-4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2-4-б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E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Якщо за аркою знаходяться два та більше закладів, поруч із аркою </w:t>
      </w:r>
    </w:p>
    <w:p w14:paraId="2641CBE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встановлюються набірні покажчики.</w:t>
      </w:r>
    </w:p>
    <w:p w14:paraId="2641CBE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14:paraId="2641CBEA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EB" w14:textId="77777777" w:rsidR="001F33F0" w:rsidRPr="006930EB" w:rsidRDefault="001F33F0" w:rsidP="001F33F0">
      <w:pPr>
        <w:pStyle w:val="3"/>
        <w:ind w:firstLine="567"/>
        <w:rPr>
          <w:rFonts w:ascii="Times New Roman" w:hAnsi="Times New Roman" w:cs="Times New Roman"/>
          <w:sz w:val="24"/>
          <w:szCs w:val="28"/>
          <w:lang w:val="uk-UA"/>
        </w:rPr>
      </w:pPr>
      <w:bookmarkStart w:id="25" w:name="_Toc466890657"/>
      <w:bookmarkStart w:id="26" w:name="_Toc476063981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2.4.1.  Типові помилки при розміщені над арками</w:t>
      </w:r>
      <w:bookmarkEnd w:id="25"/>
      <w:bookmarkEnd w:id="26"/>
    </w:p>
    <w:p w14:paraId="2641CBEC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B0" wp14:editId="2641CCB1">
            <wp:extent cx="4772025" cy="2352675"/>
            <wp:effectExtent l="0" t="0" r="9525" b="9525"/>
            <wp:docPr id="88" name="Рисунок 88" descr="2-4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-4-1-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E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Забороняється встановлювати більше однієї  спеціальної конструкції.</w:t>
      </w:r>
    </w:p>
    <w:p w14:paraId="2641CBE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Не можна встановлювати спеціальну конструкцію всередині арки (в проїзді)</w:t>
      </w:r>
    </w:p>
    <w:p w14:paraId="2641CBEF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BF0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B2" wp14:editId="2641CCB3">
            <wp:extent cx="4676775" cy="2305050"/>
            <wp:effectExtent l="0" t="0" r="9525" b="0"/>
            <wp:docPr id="87" name="Рисунок 87" descr="2-4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2-4-1-б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F1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Забороняється перекривати декоративні елементи</w:t>
      </w:r>
    </w:p>
    <w:p w14:paraId="2641CBF2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Забороняється використання табличок не узгодженого між собою формату</w:t>
      </w:r>
    </w:p>
    <w:p w14:paraId="2641CBF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BF4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F5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27" w:name="_Toc466890658"/>
      <w:bookmarkStart w:id="28" w:name="_Toc476063982"/>
      <w:r w:rsidRPr="006930EB">
        <w:rPr>
          <w:sz w:val="24"/>
          <w:szCs w:val="28"/>
          <w:lang w:val="uk-UA"/>
        </w:rPr>
        <w:lastRenderedPageBreak/>
        <w:t>2.5.  Ситуативні приклади розміщення спеціальних конструкцій</w:t>
      </w:r>
      <w:bookmarkEnd w:id="27"/>
      <w:bookmarkEnd w:id="28"/>
    </w:p>
    <w:p w14:paraId="2641CBF6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F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Приклад взаємоузгодження спеціальної конструкції та декоративних елементів фасаду</w:t>
      </w:r>
    </w:p>
    <w:p w14:paraId="2641CBF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B4" wp14:editId="2641CCB5">
            <wp:extent cx="5038725" cy="2466975"/>
            <wp:effectExtent l="0" t="0" r="9525" b="9525"/>
            <wp:docPr id="86" name="Рисунок 86" descr="2-5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2-5-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F9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Приклад розміщення спеціальної конструкції на цокольному поверху</w:t>
      </w:r>
    </w:p>
    <w:p w14:paraId="2641CBFA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F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Приклад розміщення спеціальної конструкції на типовій забудові</w:t>
      </w:r>
    </w:p>
    <w:p w14:paraId="2641CBF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B6" wp14:editId="2641CCB7">
            <wp:extent cx="4953000" cy="2428875"/>
            <wp:effectExtent l="0" t="0" r="0" b="9525"/>
            <wp:docPr id="85" name="Рисунок 85" descr="2-5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2-5-б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F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У випадках коли неможливо встановити спеціальну конструкцію над віконними та дверними</w:t>
      </w:r>
    </w:p>
    <w:p w14:paraId="2641CBF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прорізами або безпосередньо у прорізах, слід обирати розміщення з боків від них.</w:t>
      </w:r>
    </w:p>
    <w:p w14:paraId="2641CBFF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00" w14:textId="77777777" w:rsidR="001F33F0" w:rsidRPr="006930EB" w:rsidRDefault="001F33F0" w:rsidP="001F33F0">
      <w:pPr>
        <w:pStyle w:val="3"/>
        <w:ind w:firstLine="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bookmarkStart w:id="29" w:name="_Toc466890659"/>
      <w:bookmarkStart w:id="30" w:name="_Toc476063983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2.5.1.  Ситуативні приклади, помилки при розміщення спеціальних конструкцій</w:t>
      </w:r>
      <w:bookmarkEnd w:id="29"/>
      <w:bookmarkEnd w:id="30"/>
    </w:p>
    <w:p w14:paraId="2641CC01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02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Відсутнє взаємоузгодження спеціальної конструкції та декору фасаду</w:t>
      </w:r>
    </w:p>
    <w:p w14:paraId="2641CC0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B8" wp14:editId="2641CCB9">
            <wp:extent cx="5038725" cy="2486025"/>
            <wp:effectExtent l="0" t="0" r="9525" b="9525"/>
            <wp:docPr id="84" name="Рисунок 84" descr="2-5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2-5-1-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0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Спеціальна конструкція на цокольному поверсі має буди встановлена до межі </w:t>
      </w:r>
    </w:p>
    <w:p w14:paraId="2641CC0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перекриття з першим поверхом.</w:t>
      </w:r>
    </w:p>
    <w:p w14:paraId="2641CC06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0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Приклад розміщення спеціальної конструкції на типовій забудові</w:t>
      </w:r>
    </w:p>
    <w:p w14:paraId="2641CC0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BA" wp14:editId="2641CCBB">
            <wp:extent cx="5038725" cy="2495550"/>
            <wp:effectExtent l="0" t="0" r="9525" b="0"/>
            <wp:docPr id="83" name="Рисунок 83" descr="2-5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2-5-1-б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09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Спеціальної конструкції не можна розміщувати на балконах</w:t>
      </w:r>
    </w:p>
    <w:p w14:paraId="2641CC0A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14:paraId="2641CC0B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0C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31" w:name="_Toc466890660"/>
      <w:bookmarkStart w:id="32" w:name="_Toc476063984"/>
      <w:r w:rsidRPr="006930EB">
        <w:rPr>
          <w:sz w:val="24"/>
          <w:szCs w:val="28"/>
          <w:lang w:val="uk-UA"/>
        </w:rPr>
        <w:lastRenderedPageBreak/>
        <w:t>2.6.  Спеціальної конструкції вище першого поверху</w:t>
      </w:r>
      <w:bookmarkEnd w:id="31"/>
      <w:bookmarkEnd w:id="32"/>
    </w:p>
    <w:p w14:paraId="2641CC0D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Спеціальної конструкції вище першого поверху дозволяються:</w:t>
      </w:r>
    </w:p>
    <w:p w14:paraId="2641CC0E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 торгово-розважальним центрам;</w:t>
      </w:r>
    </w:p>
    <w:p w14:paraId="2641CC0F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 у випадках, коли торгові площі в житловому будинку займають два та більше поверхів;</w:t>
      </w:r>
    </w:p>
    <w:p w14:paraId="2641CC10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 у випадках, коли суб'єкту на правах оренди чи власності належить вся будівля.</w:t>
      </w:r>
    </w:p>
    <w:p w14:paraId="2641CC11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Спеціальної конструкції повинні відповідати загальним вимогам або бути встановленні в місцях, передбачених паспортом фасаду.</w:t>
      </w:r>
    </w:p>
    <w:p w14:paraId="2641CC12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У випадках зосередження великої кількості торгових точок у будинку, першочергове право розміщення спеціальної конструкції на фасаді отримують торгові площі, що займають фасадну частину. Інші орендарі узгоджують розміщення з адміністрацією.</w:t>
      </w:r>
    </w:p>
    <w:p w14:paraId="2641CC1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Спеціальної конструкції мають бути взаємоузгоджені між собою, мати однакову висоту та зберігати горизонтальну вісь із сусідніми спеціальна конструкціями.</w:t>
      </w:r>
    </w:p>
    <w:p w14:paraId="2641CC1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На глухій частині фасаду або виконаній у форматі кронштейну може розміщуватися набірний покажчик.</w:t>
      </w:r>
    </w:p>
    <w:p w14:paraId="2641CC1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C1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Торгові площі в житловому будинку займають 2 та більше поверхів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22"/>
        <w:gridCol w:w="2133"/>
      </w:tblGrid>
      <w:tr w:rsidR="001F33F0" w:rsidRPr="006930EB" w14:paraId="2641CC1A" w14:textId="77777777" w:rsidTr="00E04A63">
        <w:tc>
          <w:tcPr>
            <w:tcW w:w="7621" w:type="dxa"/>
          </w:tcPr>
          <w:p w14:paraId="2641CC17" w14:textId="77777777" w:rsidR="001F33F0" w:rsidRPr="006930EB" w:rsidRDefault="001F33F0" w:rsidP="00E04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BC" wp14:editId="2641CCBD">
                  <wp:extent cx="4305300" cy="2114550"/>
                  <wp:effectExtent l="0" t="0" r="0" b="0"/>
                  <wp:docPr id="82" name="Рисунок 82" descr="2-6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2-6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2641CC18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спеціальна конструкція не може перекривати проріз більш, ніж на 35%, не повинна виступати за межі прорізу у будь-яких напрямках,</w:t>
            </w:r>
          </w:p>
          <w:p w14:paraId="2641CC19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має наслідувати горизонтальну вісь сусідніх спеціальних конструкцій</w:t>
            </w:r>
          </w:p>
        </w:tc>
      </w:tr>
      <w:tr w:rsidR="001F33F0" w:rsidRPr="006930EB" w14:paraId="2641CC1D" w14:textId="77777777" w:rsidTr="00E04A63">
        <w:tc>
          <w:tcPr>
            <w:tcW w:w="7621" w:type="dxa"/>
          </w:tcPr>
          <w:p w14:paraId="2641CC1B" w14:textId="77777777" w:rsidR="001F33F0" w:rsidRPr="006930EB" w:rsidRDefault="001F33F0" w:rsidP="00E04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BE" wp14:editId="2641CCBF">
                  <wp:extent cx="4181475" cy="2019300"/>
                  <wp:effectExtent l="0" t="0" r="9525" b="0"/>
                  <wp:docPr id="81" name="Рисунок 81" descr="2-6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2-6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2641CC1C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спеціальної конструкції мають бути взаємоузгоджені між собою, мати однакову висоту та зберігати горизонтальну вісь із сусідніми.</w:t>
            </w:r>
          </w:p>
        </w:tc>
      </w:tr>
      <w:tr w:rsidR="001F33F0" w:rsidRPr="006930EB" w14:paraId="2641CC20" w14:textId="77777777" w:rsidTr="00E04A63">
        <w:tc>
          <w:tcPr>
            <w:tcW w:w="7621" w:type="dxa"/>
          </w:tcPr>
          <w:p w14:paraId="2641CC1E" w14:textId="77777777" w:rsidR="001F33F0" w:rsidRPr="006930EB" w:rsidRDefault="001F33F0" w:rsidP="00E04A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C0" wp14:editId="2641CCC1">
                  <wp:extent cx="876300" cy="1190625"/>
                  <wp:effectExtent l="0" t="0" r="0" b="9525"/>
                  <wp:docPr id="80" name="Рисунок 80" descr="2-6-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2-6-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2641CC1F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покажчик з спеціальна конструкціями у форматі кронштейну</w:t>
            </w:r>
          </w:p>
        </w:tc>
      </w:tr>
    </w:tbl>
    <w:p w14:paraId="2641CC21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C22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23" w14:textId="77777777" w:rsidR="001F33F0" w:rsidRPr="006930EB" w:rsidRDefault="001F33F0" w:rsidP="001F33F0">
      <w:pPr>
        <w:pStyle w:val="3"/>
        <w:ind w:firstLine="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bookmarkStart w:id="33" w:name="_Toc466890661"/>
      <w:bookmarkStart w:id="34" w:name="_Toc476063985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2.6.1.  Спеціальної конструкції вище першого поверху, типові помилки</w:t>
      </w:r>
      <w:bookmarkEnd w:id="33"/>
      <w:bookmarkEnd w:id="34"/>
    </w:p>
    <w:p w14:paraId="2641CC2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Торгові площі в житловому будинку займають 2 та більше поверхів</w:t>
      </w:r>
    </w:p>
    <w:p w14:paraId="2641CC2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6930EB">
        <w:rPr>
          <w:rFonts w:ascii="Times New Roman" w:hAnsi="Times New Roman" w:cs="Times New Roman"/>
          <w:noProof/>
          <w:sz w:val="20"/>
          <w:szCs w:val="28"/>
          <w:lang w:val="ru-RU" w:eastAsia="ru-RU"/>
        </w:rPr>
        <w:drawing>
          <wp:inline distT="0" distB="0" distL="0" distR="0" wp14:anchorId="2641CCC2" wp14:editId="2641CCC3">
            <wp:extent cx="5038725" cy="2486025"/>
            <wp:effectExtent l="0" t="0" r="9525" b="9525"/>
            <wp:docPr id="79" name="Рисунок 79" descr="2-6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2-6-1-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2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спеціальна конструкція не може перекривати проріз більш, ніж на 35%, не повинна виступати </w:t>
      </w:r>
    </w:p>
    <w:p w14:paraId="2641CC2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за межі  прорізу у будь-яких напрямках, має наслідувати </w:t>
      </w:r>
    </w:p>
    <w:p w14:paraId="2641CC2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горизонтальну вісь сусідніх спеціальних конструкцій</w:t>
      </w:r>
    </w:p>
    <w:p w14:paraId="2641CC29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0"/>
          <w:szCs w:val="28"/>
        </w:rPr>
      </w:pPr>
    </w:p>
    <w:p w14:paraId="2641CC2A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Приклад зосередження великої кількості торгових точок</w:t>
      </w:r>
    </w:p>
    <w:p w14:paraId="2641CC2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noProof/>
          <w:sz w:val="20"/>
          <w:szCs w:val="28"/>
          <w:lang w:val="ru-RU" w:eastAsia="ru-RU"/>
        </w:rPr>
        <w:drawing>
          <wp:inline distT="0" distB="0" distL="0" distR="0" wp14:anchorId="2641CCC4" wp14:editId="2641CCC5">
            <wp:extent cx="5038725" cy="2476500"/>
            <wp:effectExtent l="0" t="0" r="9525" b="0"/>
            <wp:docPr id="78" name="Рисунок 78" descr="2-6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2-6-1-б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2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спеціальної конструкції мають бути взаємоузгоджені між собою, мати однакову висоту </w:t>
      </w:r>
    </w:p>
    <w:p w14:paraId="2641CC2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та зберігати горизонтальну вісь з сусідніми</w:t>
      </w:r>
    </w:p>
    <w:p w14:paraId="2641CC2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14:paraId="2641CC2F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30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31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32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35" w:name="_Toc466890662"/>
      <w:bookmarkStart w:id="36" w:name="_Toc476063986"/>
      <w:r w:rsidRPr="006930EB">
        <w:rPr>
          <w:sz w:val="24"/>
          <w:szCs w:val="28"/>
          <w:lang w:val="uk-UA"/>
        </w:rPr>
        <w:lastRenderedPageBreak/>
        <w:t>2.7.  Спеціальної конструкції на фризі</w:t>
      </w:r>
      <w:bookmarkEnd w:id="35"/>
      <w:bookmarkEnd w:id="36"/>
    </w:p>
    <w:p w14:paraId="2641CC3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Спеціальної конструкції, що розташовуються на існуючому фризі, мають наслідувати тип, висоту та горизонтальну вісь сусідніх спеціальних конструкцій.</w:t>
      </w:r>
    </w:p>
    <w:p w14:paraId="2641CC3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При розміщенні на загальному фризі лайтбокс чи основа спеціальної конструкції має дорівнювати висоті фриза, а довжина – межам фріза, або до початку сусідньої спеціальної конструкції.</w:t>
      </w:r>
    </w:p>
    <w:p w14:paraId="2641CC35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На загальному фризі забороняється сусідство спеціальних конструкцій на основі з спеціальна конструкціями з окремими літерами без основи. </w:t>
      </w:r>
    </w:p>
    <w:p w14:paraId="2641CC36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Забороняється ігнорувати горизонтальну вісь.</w:t>
      </w:r>
    </w:p>
    <w:p w14:paraId="2641CC37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Заборонено розміщення спеціальних конструкцій, якщо їх розмір є більшим, або меншим за висоту фриза.</w:t>
      </w:r>
    </w:p>
    <w:p w14:paraId="2641CC38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Забороняється розміщення спеціальних конструкцій одна над одною.</w:t>
      </w:r>
    </w:p>
    <w:p w14:paraId="2641CC39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Забороняється перекриття спеціальними конструкціями частин фасаду, вітрин, парканів.</w:t>
      </w:r>
    </w:p>
    <w:p w14:paraId="2641CC3A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3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C6" wp14:editId="2641CCC7">
            <wp:extent cx="5038725" cy="2438400"/>
            <wp:effectExtent l="0" t="0" r="9525" b="0"/>
            <wp:docPr id="77" name="Рисунок 77" descr="2-7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2-7-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3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Спеціальної конструкції на фризі мають бути взаємоузгоджені між собою, мати однакову висоту </w:t>
      </w:r>
    </w:p>
    <w:p w14:paraId="2641CC3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та зберігати горизонтальну вісь із сусідніми.</w:t>
      </w:r>
    </w:p>
    <w:p w14:paraId="2641CC3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3F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C8" wp14:editId="2641CCC9">
            <wp:extent cx="5038725" cy="2466975"/>
            <wp:effectExtent l="0" t="0" r="9525" b="9525"/>
            <wp:docPr id="76" name="Рисунок 76" descr="2-7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2-7-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40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На загальному фризі забороняється сусідство спеціальних конструкцій на основі з спеціальна конструкціями </w:t>
      </w:r>
    </w:p>
    <w:p w14:paraId="2641CC41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 окремими літерами без основи.</w:t>
      </w:r>
    </w:p>
    <w:p w14:paraId="2641CC42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Забороняється розміщувати спеціальну конструкцію з розміром основи більше чи менше висоти </w:t>
      </w:r>
    </w:p>
    <w:p w14:paraId="2641CC4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фриза. Забороняється розміщення спеціальних конструкцій одна над одною.</w:t>
      </w:r>
    </w:p>
    <w:p w14:paraId="2641CC44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45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37" w:name="_Toc466890663"/>
      <w:bookmarkStart w:id="38" w:name="_Toc476063987"/>
      <w:r w:rsidRPr="006930EB">
        <w:rPr>
          <w:rFonts w:ascii="Times New Roman" w:hAnsi="Times New Roman" w:cs="Times New Roman"/>
          <w:sz w:val="24"/>
          <w:lang w:val="uk-UA"/>
        </w:rPr>
        <w:lastRenderedPageBreak/>
        <w:t>3.  Вітрини</w:t>
      </w:r>
      <w:bookmarkEnd w:id="37"/>
      <w:bookmarkEnd w:id="38"/>
    </w:p>
    <w:p w14:paraId="2641CC46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У вітринах можна розміщувати додаткові рекламні матеріали: лайтпостери, аплікації, принти, інсталяції.</w:t>
      </w:r>
    </w:p>
    <w:p w14:paraId="2641CC47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Аплікації можна наносити як із вуличної сторони, так і з середини; лайтпостери і принти тільки з внутрішньої. </w:t>
      </w:r>
    </w:p>
    <w:p w14:paraId="2641CC48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Допустима норма перекриття скла для лайтпостера, аплікації, принта дорівнює 40%, для інсталяції 100%</w:t>
      </w:r>
    </w:p>
    <w:p w14:paraId="2641CC4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4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CA" wp14:editId="2641CCCB">
            <wp:extent cx="5038725" cy="2466975"/>
            <wp:effectExtent l="0" t="0" r="9525" b="9525"/>
            <wp:docPr id="75" name="Рисунок 75" descr="3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3-1-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4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14:paraId="2641CC4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CC" wp14:editId="2641CCCD">
            <wp:extent cx="5038725" cy="2505075"/>
            <wp:effectExtent l="0" t="0" r="9525" b="9525"/>
            <wp:docPr id="74" name="Рисунок 74" descr="3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3-1-б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4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Лайтпостери, аплікації, принти не можуть займати більше 40%</w:t>
      </w:r>
    </w:p>
    <w:p w14:paraId="2641CC4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скла вітрини, вікон, дверей</w:t>
      </w:r>
    </w:p>
    <w:p w14:paraId="2641CC4F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50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51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39" w:name="_Toc466890664"/>
      <w:bookmarkStart w:id="40" w:name="_Toc476063988"/>
      <w:r w:rsidRPr="006930EB">
        <w:rPr>
          <w:rFonts w:ascii="Times New Roman" w:hAnsi="Times New Roman" w:cs="Times New Roman"/>
          <w:sz w:val="24"/>
          <w:lang w:val="uk-UA"/>
        </w:rPr>
        <w:lastRenderedPageBreak/>
        <w:t>4.  Спеціальної конструкції на козирках, маркізах, навісах</w:t>
      </w:r>
      <w:bookmarkEnd w:id="39"/>
      <w:bookmarkEnd w:id="40"/>
    </w:p>
    <w:p w14:paraId="2641CC52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C5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Розміщувати спеціальну конструкцію на козирках та маркізах дозволяється лише у межах вертикальних площин з урахуванням масштабу 4/6 (та 14/16) відносно площини для розміщення.</w:t>
      </w:r>
    </w:p>
    <w:p w14:paraId="2641CC54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5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CE" wp14:editId="2641CCCF">
            <wp:extent cx="5600700" cy="5934075"/>
            <wp:effectExtent l="0" t="0" r="0" b="9525"/>
            <wp:docPr id="73" name="Рисунок 73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4-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5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C57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58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41" w:name="_Toc466890665"/>
      <w:bookmarkStart w:id="42" w:name="_Toc476063989"/>
      <w:r w:rsidRPr="006930EB">
        <w:rPr>
          <w:rFonts w:ascii="Times New Roman" w:hAnsi="Times New Roman" w:cs="Times New Roman"/>
          <w:sz w:val="24"/>
          <w:lang w:val="uk-UA"/>
        </w:rPr>
        <w:lastRenderedPageBreak/>
        <w:t>5.  Розміщення спеціальних конструкцій, табличок, вказівників поруч з входом</w:t>
      </w:r>
      <w:bookmarkEnd w:id="41"/>
      <w:bookmarkEnd w:id="42"/>
    </w:p>
    <w:p w14:paraId="2641CC59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C5A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Спеціальна конструкція, табличка або вказівник не може частково або повністю перекривати декоративні елементи фасаду, вікна, двері. Не може бути розміщена на сходинках та їх огорожах. </w:t>
      </w:r>
    </w:p>
    <w:p w14:paraId="2641CC5B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Всі таблички спеціальної конструкції і вказівники мають бути однакового розміру та орієнтації, бути розміщені по боках від входу, взаємоузгоджені між собою; зберігати або вертикальну, або горизонтальну вісь.</w:t>
      </w:r>
    </w:p>
    <w:p w14:paraId="2641CC5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5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D0" wp14:editId="2641CCD1">
            <wp:extent cx="2714625" cy="3638550"/>
            <wp:effectExtent l="0" t="0" r="9525" b="0"/>
            <wp:docPr id="72" name="Рисунок 72" descr="5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5-1-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5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5F" w14:textId="77777777" w:rsidR="001F33F0" w:rsidRPr="006930EB" w:rsidRDefault="001F33F0" w:rsidP="00135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D2" wp14:editId="2641CCD3">
            <wp:extent cx="2733675" cy="3676650"/>
            <wp:effectExtent l="0" t="0" r="9525" b="0"/>
            <wp:docPr id="71" name="Рисунок 71" descr="5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5-1-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60" w14:textId="77777777" w:rsidR="001F33F0" w:rsidRPr="006930EB" w:rsidRDefault="001F33F0" w:rsidP="001F33F0">
      <w:pPr>
        <w:spacing w:after="0" w:line="240" w:lineRule="auto"/>
        <w:ind w:firstLine="176"/>
        <w:rPr>
          <w:rFonts w:ascii="Times New Roman" w:hAnsi="Times New Roman" w:cs="Times New Roman"/>
          <w:b/>
          <w:sz w:val="24"/>
        </w:rPr>
      </w:pPr>
      <w:bookmarkStart w:id="43" w:name="_Toc466890666"/>
      <w:r w:rsidRPr="006930EB">
        <w:rPr>
          <w:rFonts w:ascii="Times New Roman" w:hAnsi="Times New Roman" w:cs="Times New Roman"/>
          <w:b/>
          <w:sz w:val="24"/>
        </w:rPr>
        <w:lastRenderedPageBreak/>
        <w:t xml:space="preserve">6.  </w:t>
      </w:r>
      <w:r w:rsidRPr="006930EB">
        <w:rPr>
          <w:rFonts w:ascii="Times New Roman" w:hAnsi="Times New Roman" w:cs="Times New Roman"/>
          <w:b/>
        </w:rPr>
        <w:t>Спеціальна рекламна конструкція, що розміщується під кутом до фасаду будинку (будівлі)</w:t>
      </w:r>
      <w:r w:rsidRPr="006930EB">
        <w:rPr>
          <w:rFonts w:ascii="Times New Roman" w:hAnsi="Times New Roman" w:cs="Times New Roman"/>
          <w:b/>
          <w:sz w:val="24"/>
        </w:rPr>
        <w:t xml:space="preserve"> (теж саме: вказівник, прапорець)</w:t>
      </w:r>
      <w:bookmarkEnd w:id="43"/>
    </w:p>
    <w:p w14:paraId="2641CC61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C62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Розміщується перпендикулярно фасаду будинку на висоті не менше 2.5 м до його нижньої частини, від рівня тротуару або інших площин, призначених для проходу пішоходів, та виносом від площини фасаду не більше 0.9 м</w:t>
      </w:r>
    </w:p>
    <w:p w14:paraId="2641CC6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Кронштейн може встановлюватися як безпосередньо на фасаді закладу, так і окремо від закладу на кутах будинку, але повинен дотримуватися спільної горизонтальної вісі з іншими спеціальна конструкціями.</w:t>
      </w:r>
    </w:p>
    <w:p w14:paraId="2641CC6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Між кронштейном та спеціальною конструкцією або іншим кронштейном має бути не менше 2-х метрів. Максимальна висота кронштейну,  розташованого вище першого поверху, має бути не більше сумарної висоти перших двох поверхів.</w:t>
      </w:r>
    </w:p>
    <w:p w14:paraId="2641CC65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Кронштейни не можуть перекривати декоративні елементи, встановлюватися у віконні або дверні прорізи, балкони.</w:t>
      </w:r>
    </w:p>
    <w:p w14:paraId="2641CC66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Перекривати або обмежувати доступ до інженерних комунікацій, перекривати</w:t>
      </w:r>
    </w:p>
    <w:p w14:paraId="2641CC67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адресні та пам'ятні таблички тощо.</w:t>
      </w:r>
    </w:p>
    <w:p w14:paraId="2641CC68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 xml:space="preserve">Забороняється розміщувати кронштейн безпосередньо над або під існуючим кронштейном. </w:t>
      </w:r>
    </w:p>
    <w:p w14:paraId="2641CC69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Кронштейни можуть бути різноманітних геометричних форм, типів та матеріалів</w:t>
      </w:r>
    </w:p>
    <w:p w14:paraId="2641CC6A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40"/>
        <w:gridCol w:w="5615"/>
      </w:tblGrid>
      <w:tr w:rsidR="001F33F0" w:rsidRPr="006930EB" w14:paraId="2641CC6D" w14:textId="77777777" w:rsidTr="00E04A63">
        <w:trPr>
          <w:trHeight w:val="4874"/>
        </w:trPr>
        <w:tc>
          <w:tcPr>
            <w:tcW w:w="4786" w:type="dxa"/>
            <w:vAlign w:val="center"/>
          </w:tcPr>
          <w:p w14:paraId="2641CC6B" w14:textId="77777777" w:rsidR="001F33F0" w:rsidRPr="006930EB" w:rsidRDefault="001F33F0" w:rsidP="00E04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D4" wp14:editId="2641CCD5">
                  <wp:extent cx="1743075" cy="2809875"/>
                  <wp:effectExtent l="0" t="0" r="9525" b="9525"/>
                  <wp:docPr id="70" name="Рисунок 70" descr="6-1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6-1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vAlign w:val="center"/>
          </w:tcPr>
          <w:p w14:paraId="2641CC6C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D6" wp14:editId="2641CCD7">
                  <wp:extent cx="3219450" cy="2590800"/>
                  <wp:effectExtent l="0" t="0" r="0" b="0"/>
                  <wp:docPr id="69" name="Рисунок 69" descr="6-1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6-1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3F0" w:rsidRPr="006930EB" w14:paraId="2641CC70" w14:textId="77777777" w:rsidTr="00E04A63">
        <w:trPr>
          <w:trHeight w:val="4874"/>
        </w:trPr>
        <w:tc>
          <w:tcPr>
            <w:tcW w:w="4786" w:type="dxa"/>
            <w:vAlign w:val="center"/>
          </w:tcPr>
          <w:p w14:paraId="2641CC6E" w14:textId="77777777" w:rsidR="001F33F0" w:rsidRPr="006930EB" w:rsidRDefault="001F33F0" w:rsidP="00E04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lastRenderedPageBreak/>
              <w:drawing>
                <wp:inline distT="0" distB="0" distL="0" distR="0" wp14:anchorId="2641CCD8" wp14:editId="2641CCD9">
                  <wp:extent cx="1714500" cy="2781300"/>
                  <wp:effectExtent l="0" t="0" r="0" b="0"/>
                  <wp:docPr id="68" name="Рисунок 68" descr="6-1-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6-1-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vAlign w:val="center"/>
          </w:tcPr>
          <w:p w14:paraId="2641CC6F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DA" wp14:editId="2641CCDB">
                  <wp:extent cx="3343275" cy="2590800"/>
                  <wp:effectExtent l="0" t="0" r="9525" b="0"/>
                  <wp:docPr id="67" name="Рисунок 67" descr="6-1-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6-1-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1CC71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72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44" w:name="_Toc466890667"/>
      <w:bookmarkStart w:id="45" w:name="_Toc476063990"/>
      <w:r w:rsidRPr="006930EB">
        <w:rPr>
          <w:rFonts w:ascii="Times New Roman" w:hAnsi="Times New Roman" w:cs="Times New Roman"/>
          <w:sz w:val="24"/>
          <w:lang w:val="uk-UA"/>
        </w:rPr>
        <w:lastRenderedPageBreak/>
        <w:t>7.  Меморіальні дошки, пам'ятні таблички</w:t>
      </w:r>
      <w:bookmarkEnd w:id="44"/>
      <w:bookmarkEnd w:id="45"/>
    </w:p>
    <w:p w14:paraId="2641CC7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Обабіч меморіальних дощок та пам’ятних табличок встановлюється охоронна зона. Вона повинна бути вільна від будь-якої реклами, в тому числі розміщеної у вікнах або вітринах.</w:t>
      </w:r>
    </w:p>
    <w:p w14:paraId="2641CC7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Охоронна зона має дорівнювати 0,5 довжини найдовшої із сторін дошки, таблички, або групи дощок по периметру з кожної сторони, але не менше 1 метра.</w:t>
      </w:r>
    </w:p>
    <w:p w14:paraId="2641CC75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7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Охоронна зона дошки, таблички, або групи дощок</w:t>
      </w:r>
    </w:p>
    <w:p w14:paraId="2641CC7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641CCDC" wp14:editId="2641CCDD">
            <wp:extent cx="5886450" cy="2343150"/>
            <wp:effectExtent l="0" t="0" r="0" b="0"/>
            <wp:docPr id="66" name="Рисунок 66" descr="7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7-1-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78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6486"/>
        <w:gridCol w:w="2194"/>
      </w:tblGrid>
      <w:tr w:rsidR="001F33F0" w:rsidRPr="006930EB" w14:paraId="2641CC7B" w14:textId="77777777" w:rsidTr="00E04A63">
        <w:tc>
          <w:tcPr>
            <w:tcW w:w="5871" w:type="dxa"/>
          </w:tcPr>
          <w:p w14:paraId="2641CC79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 wp14:anchorId="2641CCDE" wp14:editId="2641CCDF">
                  <wp:extent cx="3971925" cy="2343150"/>
                  <wp:effectExtent l="0" t="0" r="9525" b="0"/>
                  <wp:docPr id="65" name="Рисунок 65" descr="7-1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7-1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8" w:type="dxa"/>
          </w:tcPr>
          <w:p w14:paraId="2641CC7A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Охорона зона  дорівнює 0,5 довжини найдовшої із сторін дошки, таблички, або групи дощок по периметру з кожної сторони, але не менше 1 метра.</w:t>
            </w:r>
          </w:p>
        </w:tc>
      </w:tr>
    </w:tbl>
    <w:p w14:paraId="2641CC7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7D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7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C7F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2641CC80" w14:textId="77777777" w:rsidR="001F33F0" w:rsidRPr="006930EB" w:rsidRDefault="001F33F0" w:rsidP="001F33F0">
      <w:pPr>
        <w:rPr>
          <w:rFonts w:ascii="Times New Roman" w:hAnsi="Times New Roman" w:cs="Times New Roman"/>
        </w:rPr>
      </w:pPr>
    </w:p>
    <w:p w14:paraId="2641CC81" w14:textId="77777777" w:rsidR="001F33F0" w:rsidRPr="006930EB" w:rsidRDefault="001F33F0" w:rsidP="001F33F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Начальник управління </w:t>
      </w:r>
    </w:p>
    <w:p w14:paraId="2641CC82" w14:textId="77777777" w:rsidR="001F33F0" w:rsidRPr="006930EB" w:rsidRDefault="001F33F0" w:rsidP="001F33F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архітектури та містобудування                      </w:t>
      </w: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А.В. Кривцов</w:t>
      </w:r>
    </w:p>
    <w:p w14:paraId="2641CC83" w14:textId="77777777" w:rsidR="00940CEF" w:rsidRDefault="00940CEF"/>
    <w:sectPr w:rsidR="0094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3F0"/>
    <w:rsid w:val="00135CA1"/>
    <w:rsid w:val="001F33F0"/>
    <w:rsid w:val="002900F2"/>
    <w:rsid w:val="00940CEF"/>
    <w:rsid w:val="009A6CED"/>
    <w:rsid w:val="00C70488"/>
    <w:rsid w:val="00CF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1CB4A"/>
  <w15:docId w15:val="{081A5CDA-2AC6-4919-9A6C-871493313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3F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1F33F0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link w:val="20"/>
    <w:qFormat/>
    <w:rsid w:val="001F3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qFormat/>
    <w:rsid w:val="001F33F0"/>
    <w:pPr>
      <w:keepNext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33F0"/>
    <w:rPr>
      <w:rFonts w:ascii="Arial" w:eastAsia="Calibri" w:hAnsi="Arial" w:cs="Arial"/>
      <w:b/>
      <w:bCs/>
      <w:kern w:val="32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rsid w:val="001F33F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rsid w:val="001F33F0"/>
    <w:rPr>
      <w:rFonts w:ascii="Arial" w:eastAsia="Calibri" w:hAnsi="Arial" w:cs="Arial"/>
      <w:b/>
      <w:bCs/>
      <w:sz w:val="26"/>
      <w:szCs w:val="26"/>
      <w:lang w:val="ru-RU"/>
    </w:rPr>
  </w:style>
  <w:style w:type="paragraph" w:customStyle="1" w:styleId="11">
    <w:name w:val="Абзац списка1"/>
    <w:basedOn w:val="a"/>
    <w:uiPriority w:val="99"/>
    <w:qFormat/>
    <w:rsid w:val="001F33F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1F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Трояновська Наталія Анатоліївна</cp:lastModifiedBy>
  <cp:revision>4</cp:revision>
  <cp:lastPrinted>2020-06-02T13:29:00Z</cp:lastPrinted>
  <dcterms:created xsi:type="dcterms:W3CDTF">2020-06-02T13:36:00Z</dcterms:created>
  <dcterms:modified xsi:type="dcterms:W3CDTF">2020-06-03T07:45:00Z</dcterms:modified>
</cp:coreProperties>
</file>