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8F" w:rsidRPr="00084E8F" w:rsidRDefault="00084E8F" w:rsidP="00084E8F">
      <w:pPr>
        <w:ind w:right="850"/>
        <w:jc w:val="center"/>
        <w:rPr>
          <w:b/>
          <w:sz w:val="28"/>
          <w:szCs w:val="28"/>
          <w:lang w:val="uk-UA"/>
        </w:rPr>
      </w:pPr>
      <w:r w:rsidRPr="00084E8F">
        <w:rPr>
          <w:b/>
          <w:sz w:val="28"/>
          <w:szCs w:val="28"/>
          <w:lang w:val="uk-UA"/>
        </w:rPr>
        <w:t>ПОРІВНЯЛЬНА ТАБЛИЦЯ</w:t>
      </w:r>
    </w:p>
    <w:p w:rsidR="00084E8F" w:rsidRPr="00084E8F" w:rsidRDefault="00084E8F" w:rsidP="00084E8F">
      <w:pPr>
        <w:ind w:left="426" w:right="424"/>
        <w:jc w:val="center"/>
        <w:rPr>
          <w:b/>
          <w:sz w:val="28"/>
          <w:szCs w:val="28"/>
          <w:lang w:val="uk-UA"/>
        </w:rPr>
      </w:pPr>
      <w:r w:rsidRPr="00084E8F">
        <w:rPr>
          <w:b/>
          <w:sz w:val="28"/>
          <w:szCs w:val="28"/>
          <w:lang w:val="uk-UA"/>
        </w:rPr>
        <w:t xml:space="preserve">до </w:t>
      </w:r>
      <w:proofErr w:type="spellStart"/>
      <w:r w:rsidRPr="00084E8F">
        <w:rPr>
          <w:b/>
          <w:sz w:val="28"/>
          <w:szCs w:val="28"/>
          <w:lang w:val="uk-UA"/>
        </w:rPr>
        <w:t>про</w:t>
      </w:r>
      <w:r w:rsidR="003F2D90">
        <w:rPr>
          <w:b/>
          <w:sz w:val="28"/>
          <w:szCs w:val="28"/>
          <w:lang w:val="uk-UA"/>
        </w:rPr>
        <w:t>є</w:t>
      </w:r>
      <w:r w:rsidRPr="00084E8F">
        <w:rPr>
          <w:b/>
          <w:sz w:val="28"/>
          <w:szCs w:val="28"/>
          <w:lang w:val="uk-UA"/>
        </w:rPr>
        <w:t>кту</w:t>
      </w:r>
      <w:proofErr w:type="spellEnd"/>
      <w:r w:rsidRPr="00084E8F">
        <w:rPr>
          <w:b/>
          <w:sz w:val="28"/>
          <w:szCs w:val="28"/>
          <w:lang w:val="uk-UA"/>
        </w:rPr>
        <w:t xml:space="preserve"> рішення Сумської міської ради </w:t>
      </w:r>
    </w:p>
    <w:p w:rsidR="00084E8F" w:rsidRDefault="00084E8F" w:rsidP="00084E8F">
      <w:pPr>
        <w:jc w:val="center"/>
        <w:rPr>
          <w:b/>
          <w:sz w:val="28"/>
          <w:szCs w:val="28"/>
          <w:lang w:val="uk-UA"/>
        </w:rPr>
      </w:pPr>
      <w:r w:rsidRPr="00084E8F">
        <w:rPr>
          <w:b/>
          <w:sz w:val="28"/>
          <w:szCs w:val="28"/>
          <w:lang w:val="uk-UA"/>
        </w:rPr>
        <w:t>«</w:t>
      </w:r>
      <w:r w:rsidRPr="00084E8F">
        <w:rPr>
          <w:rStyle w:val="a3"/>
          <w:b/>
          <w:i w:val="0"/>
          <w:color w:val="000000"/>
          <w:sz w:val="28"/>
          <w:szCs w:val="28"/>
          <w:lang w:val="uk-UA"/>
        </w:rPr>
        <w:t>Про внесення змін до рішення Сумської міської ради</w:t>
      </w:r>
      <w:r w:rsidRPr="00084E8F">
        <w:rPr>
          <w:b/>
          <w:sz w:val="28"/>
          <w:szCs w:val="28"/>
          <w:lang w:val="uk-UA"/>
        </w:rPr>
        <w:t xml:space="preserve">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3F3964" w:rsidRDefault="003F3964" w:rsidP="00084E8F">
      <w:pPr>
        <w:jc w:val="center"/>
        <w:rPr>
          <w:b/>
          <w:sz w:val="28"/>
          <w:szCs w:val="28"/>
          <w:lang w:val="uk-UA"/>
        </w:rPr>
      </w:pPr>
    </w:p>
    <w:p w:rsidR="00084E8F" w:rsidRPr="00A33C59" w:rsidRDefault="00084E8F" w:rsidP="00A33C59">
      <w:pPr>
        <w:jc w:val="center"/>
        <w:rPr>
          <w:b/>
          <w:sz w:val="28"/>
          <w:szCs w:val="28"/>
          <w:lang w:val="uk-UA"/>
        </w:rPr>
      </w:pPr>
    </w:p>
    <w:tbl>
      <w:tblPr>
        <w:tblStyle w:val="a4"/>
        <w:tblW w:w="14560" w:type="dxa"/>
        <w:tblLook w:val="04A0" w:firstRow="1" w:lastRow="0" w:firstColumn="1" w:lastColumn="0" w:noHBand="0" w:noVBand="1"/>
      </w:tblPr>
      <w:tblGrid>
        <w:gridCol w:w="5925"/>
        <w:gridCol w:w="1354"/>
        <w:gridCol w:w="5899"/>
        <w:gridCol w:w="1382"/>
      </w:tblGrid>
      <w:tr w:rsidR="00A33C59" w:rsidRPr="008176DC" w:rsidTr="00AB4CB7">
        <w:tc>
          <w:tcPr>
            <w:tcW w:w="7279" w:type="dxa"/>
            <w:gridSpan w:val="2"/>
          </w:tcPr>
          <w:p w:rsidR="00A33C59" w:rsidRPr="008176DC" w:rsidRDefault="00A33C59" w:rsidP="00A33C59">
            <w:pPr>
              <w:jc w:val="center"/>
              <w:rPr>
                <w:b/>
                <w:sz w:val="26"/>
                <w:szCs w:val="26"/>
                <w:lang w:val="uk-UA"/>
              </w:rPr>
            </w:pPr>
            <w:r w:rsidRPr="008176DC">
              <w:rPr>
                <w:b/>
                <w:sz w:val="26"/>
                <w:szCs w:val="26"/>
                <w:lang w:val="uk-UA"/>
              </w:rPr>
              <w:t>Чинна редакція</w:t>
            </w:r>
          </w:p>
        </w:tc>
        <w:tc>
          <w:tcPr>
            <w:tcW w:w="7281" w:type="dxa"/>
            <w:gridSpan w:val="2"/>
          </w:tcPr>
          <w:p w:rsidR="00A33C59" w:rsidRPr="008176DC" w:rsidRDefault="00A33C59" w:rsidP="00A33C59">
            <w:pPr>
              <w:jc w:val="center"/>
              <w:rPr>
                <w:b/>
                <w:sz w:val="26"/>
                <w:szCs w:val="26"/>
                <w:lang w:val="uk-UA"/>
              </w:rPr>
            </w:pPr>
            <w:r w:rsidRPr="008176DC">
              <w:rPr>
                <w:b/>
                <w:sz w:val="26"/>
                <w:szCs w:val="26"/>
                <w:lang w:val="uk-UA"/>
              </w:rPr>
              <w:t>Запропонована редакція</w:t>
            </w:r>
          </w:p>
        </w:tc>
      </w:tr>
      <w:tr w:rsidR="009960AA" w:rsidRPr="008176DC" w:rsidTr="00AB4CB7">
        <w:tc>
          <w:tcPr>
            <w:tcW w:w="14560" w:type="dxa"/>
            <w:gridSpan w:val="4"/>
          </w:tcPr>
          <w:p w:rsidR="009960AA" w:rsidRDefault="009960AA" w:rsidP="009960AA">
            <w:pPr>
              <w:jc w:val="center"/>
              <w:rPr>
                <w:b/>
                <w:i/>
                <w:sz w:val="26"/>
                <w:szCs w:val="26"/>
                <w:lang w:val="uk-UA"/>
              </w:rPr>
            </w:pPr>
            <w:r w:rsidRPr="008176DC">
              <w:rPr>
                <w:b/>
                <w:i/>
                <w:sz w:val="26"/>
                <w:szCs w:val="26"/>
                <w:lang w:val="uk-UA"/>
              </w:rPr>
              <w:t>Додаток 1 до рішення Сумської міської ради</w:t>
            </w:r>
          </w:p>
          <w:p w:rsidR="003F3964" w:rsidRPr="008176DC" w:rsidRDefault="003F3964" w:rsidP="009960AA">
            <w:pPr>
              <w:jc w:val="center"/>
              <w:rPr>
                <w:b/>
                <w:i/>
                <w:sz w:val="26"/>
                <w:szCs w:val="26"/>
                <w:lang w:val="uk-UA"/>
              </w:rPr>
            </w:pPr>
          </w:p>
        </w:tc>
      </w:tr>
      <w:tr w:rsidR="00084E8F" w:rsidRPr="008176DC" w:rsidTr="00AB4CB7">
        <w:tc>
          <w:tcPr>
            <w:tcW w:w="7279" w:type="dxa"/>
            <w:gridSpan w:val="2"/>
          </w:tcPr>
          <w:p w:rsidR="00084E8F" w:rsidRPr="008176DC" w:rsidRDefault="002219C6" w:rsidP="002219C6">
            <w:pPr>
              <w:ind w:firstLine="540"/>
              <w:jc w:val="both"/>
              <w:rPr>
                <w:sz w:val="26"/>
                <w:szCs w:val="26"/>
                <w:lang w:val="uk-UA"/>
              </w:rPr>
            </w:pPr>
            <w:r w:rsidRPr="008176DC">
              <w:rPr>
                <w:sz w:val="26"/>
                <w:szCs w:val="26"/>
                <w:lang w:val="uk-UA"/>
              </w:rPr>
              <w:t>1. Методику розроблено з метою створення єдиного організаційно-економічного механізму справляння плати за оренду цілісного майнового комплексу комунального підприємства, його структурного підрозділу (філії, цеху, дільниці) та окремого індивідуально визначеного майна, що належить до комунальної власності територіальної громади м. Суми, а також майна, що не ввійшло до статутного капіталу господарського товариства, створеного у процесі приватизації (корпоратизації), далі – Майно, за договорами  оренди, що  укладаються уповноваженим органом Сумської міської ради – департаментом забезпечення ресурсних платежів, далі - Департамент, а з його дозволу – комунальними підприємствами, яким майно передано в господарське відання.</w:t>
            </w:r>
          </w:p>
        </w:tc>
        <w:tc>
          <w:tcPr>
            <w:tcW w:w="7281" w:type="dxa"/>
            <w:gridSpan w:val="2"/>
          </w:tcPr>
          <w:p w:rsidR="00084E8F" w:rsidRPr="008176DC" w:rsidRDefault="002219C6" w:rsidP="008176DC">
            <w:pPr>
              <w:pStyle w:val="Default"/>
              <w:ind w:firstLine="709"/>
              <w:jc w:val="both"/>
              <w:rPr>
                <w:sz w:val="26"/>
                <w:szCs w:val="26"/>
                <w:lang w:val="uk-UA"/>
              </w:rPr>
            </w:pPr>
            <w:r w:rsidRPr="008176DC">
              <w:rPr>
                <w:sz w:val="26"/>
                <w:szCs w:val="26"/>
                <w:lang w:val="uk-UA"/>
              </w:rPr>
              <w:t>1</w:t>
            </w:r>
            <w:r w:rsidRPr="00C43DC6">
              <w:rPr>
                <w:rFonts w:eastAsia="Calibri"/>
                <w:color w:val="auto"/>
                <w:sz w:val="26"/>
                <w:szCs w:val="26"/>
                <w:lang w:val="uk-UA"/>
              </w:rPr>
              <w:t xml:space="preserve">. </w:t>
            </w:r>
            <w:r w:rsidR="00C43DC6" w:rsidRPr="00C43DC6">
              <w:rPr>
                <w:rFonts w:eastAsia="Calibri"/>
                <w:color w:val="auto"/>
                <w:sz w:val="26"/>
                <w:szCs w:val="26"/>
                <w:lang w:val="uk-UA"/>
              </w:rPr>
              <w:t>Методику розроблено з метою створення єдиного організаційно- економічного механізму справляння плати за об’єкти оренди, визначені частиною першою статті 3 Закону України «Про оренду державного та комунального майна» (далі – Закон), за договорами оренди, що укладаються уповноваженим органом Сумської міської ради – Департаментом забезпечення ресурсних платежів Сумської міської ради (далі – Департамент), або за його погодженням – комунальними підприємствами Сумської міської ради, в яких майно перебуває на праві господарського відання, за нерухоме майно загальною площею не більше 5 квадратних метрів та інше окреме індивідуально визначене майно</w:t>
            </w:r>
          </w:p>
        </w:tc>
      </w:tr>
      <w:tr w:rsidR="00084E8F" w:rsidRPr="008176DC" w:rsidTr="00AB4CB7">
        <w:tc>
          <w:tcPr>
            <w:tcW w:w="7279" w:type="dxa"/>
            <w:gridSpan w:val="2"/>
          </w:tcPr>
          <w:p w:rsidR="002219C6" w:rsidRPr="008176DC" w:rsidRDefault="002219C6" w:rsidP="002219C6">
            <w:pPr>
              <w:ind w:firstLine="540"/>
              <w:jc w:val="both"/>
              <w:rPr>
                <w:strike/>
                <w:sz w:val="26"/>
                <w:szCs w:val="26"/>
                <w:lang w:val="uk-UA"/>
              </w:rPr>
            </w:pPr>
            <w:r w:rsidRPr="008B4AAF">
              <w:rPr>
                <w:sz w:val="26"/>
                <w:szCs w:val="26"/>
                <w:lang w:val="uk-UA"/>
              </w:rPr>
              <w:t xml:space="preserve">2. </w:t>
            </w:r>
            <w:r w:rsidRPr="008176DC">
              <w:rPr>
                <w:strike/>
                <w:sz w:val="26"/>
                <w:szCs w:val="26"/>
                <w:lang w:val="uk-UA"/>
              </w:rPr>
              <w:t>Розмір орендної плати встановлюється договором оренди між орендодавцем та орендарем.</w:t>
            </w:r>
          </w:p>
          <w:p w:rsidR="002219C6" w:rsidRPr="008176DC" w:rsidRDefault="002219C6" w:rsidP="002219C6">
            <w:pPr>
              <w:ind w:firstLine="540"/>
              <w:jc w:val="both"/>
              <w:rPr>
                <w:strike/>
                <w:sz w:val="26"/>
                <w:szCs w:val="26"/>
                <w:lang w:val="uk-UA"/>
              </w:rPr>
            </w:pPr>
            <w:r w:rsidRPr="008176DC">
              <w:rPr>
                <w:strike/>
                <w:sz w:val="26"/>
                <w:szCs w:val="26"/>
                <w:lang w:val="uk-UA"/>
              </w:rPr>
              <w:t>У разі коли орендодавцем окремого індивідуально визначеного майна є комунальне підприємство, розмір орендної плати погоджується з Департаментом.</w:t>
            </w:r>
          </w:p>
          <w:p w:rsidR="00084E8F" w:rsidRPr="008176DC" w:rsidRDefault="002219C6" w:rsidP="008176DC">
            <w:pPr>
              <w:ind w:firstLine="540"/>
              <w:jc w:val="both"/>
              <w:rPr>
                <w:strike/>
                <w:sz w:val="26"/>
                <w:szCs w:val="26"/>
                <w:lang w:val="uk-UA"/>
              </w:rPr>
            </w:pPr>
            <w:r w:rsidRPr="008176DC">
              <w:rPr>
                <w:strike/>
                <w:sz w:val="26"/>
                <w:szCs w:val="26"/>
                <w:lang w:val="uk-UA"/>
              </w:rPr>
              <w:lastRenderedPageBreak/>
              <w:t xml:space="preserve">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w:t>
            </w:r>
            <w:r w:rsidR="008176DC">
              <w:rPr>
                <w:strike/>
                <w:sz w:val="26"/>
                <w:szCs w:val="26"/>
                <w:lang w:val="uk-UA"/>
              </w:rPr>
              <w:t>результатами такого визначення.</w:t>
            </w:r>
          </w:p>
        </w:tc>
        <w:tc>
          <w:tcPr>
            <w:tcW w:w="7281" w:type="dxa"/>
            <w:gridSpan w:val="2"/>
          </w:tcPr>
          <w:p w:rsidR="00084E8F" w:rsidRPr="008176DC" w:rsidRDefault="00084E8F">
            <w:pPr>
              <w:rPr>
                <w:sz w:val="26"/>
                <w:szCs w:val="26"/>
                <w:lang w:val="uk-UA"/>
              </w:rPr>
            </w:pPr>
          </w:p>
        </w:tc>
      </w:tr>
      <w:tr w:rsidR="002219C6" w:rsidRPr="00C43DC6" w:rsidTr="00AB4CB7">
        <w:tc>
          <w:tcPr>
            <w:tcW w:w="7279" w:type="dxa"/>
            <w:gridSpan w:val="2"/>
            <w:tcBorders>
              <w:bottom w:val="single" w:sz="4" w:space="0" w:color="auto"/>
            </w:tcBorders>
          </w:tcPr>
          <w:p w:rsidR="002219C6" w:rsidRPr="008176DC" w:rsidRDefault="002219C6" w:rsidP="00375C1C">
            <w:pPr>
              <w:pStyle w:val="a5"/>
              <w:spacing w:after="0"/>
              <w:ind w:firstLine="540"/>
              <w:jc w:val="both"/>
              <w:rPr>
                <w:sz w:val="26"/>
                <w:szCs w:val="26"/>
                <w:lang w:val="uk-UA"/>
              </w:rPr>
            </w:pPr>
          </w:p>
        </w:tc>
        <w:tc>
          <w:tcPr>
            <w:tcW w:w="7281" w:type="dxa"/>
            <w:gridSpan w:val="2"/>
            <w:tcBorders>
              <w:bottom w:val="single" w:sz="4" w:space="0" w:color="auto"/>
            </w:tcBorders>
          </w:tcPr>
          <w:p w:rsidR="002219C6" w:rsidRPr="00AB4CB7" w:rsidRDefault="002219C6" w:rsidP="008176DC">
            <w:pPr>
              <w:ind w:firstLine="709"/>
              <w:jc w:val="both"/>
              <w:rPr>
                <w:b/>
                <w:sz w:val="26"/>
                <w:szCs w:val="26"/>
                <w:lang w:val="uk-UA"/>
              </w:rPr>
            </w:pPr>
            <w:r w:rsidRPr="00AB4CB7">
              <w:rPr>
                <w:b/>
                <w:sz w:val="26"/>
                <w:szCs w:val="26"/>
                <w:lang w:val="uk-UA"/>
              </w:rPr>
              <w:t xml:space="preserve">2. Витрати на утримання нерухомого майна, переданого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w:t>
            </w:r>
            <w:proofErr w:type="spellStart"/>
            <w:r w:rsidRPr="00AB4CB7">
              <w:rPr>
                <w:b/>
                <w:sz w:val="26"/>
                <w:szCs w:val="26"/>
                <w:lang w:val="uk-UA"/>
              </w:rPr>
              <w:t>пропорційно</w:t>
            </w:r>
            <w:proofErr w:type="spellEnd"/>
            <w:r w:rsidRPr="00AB4CB7">
              <w:rPr>
                <w:b/>
                <w:sz w:val="26"/>
                <w:szCs w:val="26"/>
                <w:lang w:val="uk-UA"/>
              </w:rPr>
              <w:t xml:space="preserve"> розміру займаної підприємствами, організаціями загальної площі.</w:t>
            </w:r>
            <w:r w:rsidR="008176DC" w:rsidRPr="00AB4CB7">
              <w:rPr>
                <w:b/>
                <w:sz w:val="26"/>
                <w:szCs w:val="26"/>
                <w:lang w:val="uk-UA"/>
              </w:rPr>
              <w:t xml:space="preserve"> </w:t>
            </w:r>
          </w:p>
        </w:tc>
      </w:tr>
      <w:tr w:rsidR="002219C6" w:rsidRPr="008176DC" w:rsidTr="00AB4CB7">
        <w:tc>
          <w:tcPr>
            <w:tcW w:w="7279" w:type="dxa"/>
            <w:gridSpan w:val="2"/>
            <w:tcBorders>
              <w:bottom w:val="single" w:sz="4" w:space="0" w:color="auto"/>
            </w:tcBorders>
          </w:tcPr>
          <w:p w:rsidR="002219C6" w:rsidRPr="008176DC" w:rsidRDefault="002219C6" w:rsidP="00375C1C">
            <w:pPr>
              <w:pStyle w:val="a5"/>
              <w:spacing w:after="0"/>
              <w:ind w:firstLine="540"/>
              <w:jc w:val="both"/>
              <w:rPr>
                <w:sz w:val="26"/>
                <w:szCs w:val="26"/>
                <w:lang w:val="uk-UA"/>
              </w:rPr>
            </w:pPr>
          </w:p>
        </w:tc>
        <w:tc>
          <w:tcPr>
            <w:tcW w:w="7281" w:type="dxa"/>
            <w:gridSpan w:val="2"/>
            <w:tcBorders>
              <w:bottom w:val="single" w:sz="4" w:space="0" w:color="auto"/>
            </w:tcBorders>
          </w:tcPr>
          <w:p w:rsidR="002219C6" w:rsidRPr="008176DC" w:rsidRDefault="002219C6" w:rsidP="002219C6">
            <w:pPr>
              <w:tabs>
                <w:tab w:val="left" w:pos="900"/>
              </w:tabs>
              <w:ind w:firstLine="709"/>
              <w:jc w:val="both"/>
              <w:rPr>
                <w:sz w:val="26"/>
                <w:szCs w:val="26"/>
                <w:lang w:val="uk-UA"/>
              </w:rPr>
            </w:pPr>
            <w:r w:rsidRPr="008176DC">
              <w:rPr>
                <w:sz w:val="26"/>
                <w:szCs w:val="26"/>
                <w:lang w:val="uk-UA"/>
              </w:rPr>
              <w:t>3. У разі оренди нерухомого майна (крім оренди нерухомого майна фізичними та юридичними особами, зазначеними у пункті 10 цієї Методики) розмір річної орендної плати визначається за формулою:</w:t>
            </w:r>
          </w:p>
          <w:p w:rsidR="002219C6" w:rsidRPr="008176DC" w:rsidRDefault="002219C6" w:rsidP="002219C6">
            <w:pPr>
              <w:tabs>
                <w:tab w:val="num" w:pos="0"/>
              </w:tabs>
              <w:ind w:firstLine="540"/>
              <w:jc w:val="center"/>
              <w:rPr>
                <w:sz w:val="26"/>
                <w:szCs w:val="26"/>
                <w:lang w:val="uk-UA"/>
              </w:rPr>
            </w:pPr>
            <w:proofErr w:type="spellStart"/>
            <w:r w:rsidRPr="008176DC">
              <w:rPr>
                <w:sz w:val="26"/>
                <w:szCs w:val="26"/>
                <w:lang w:val="uk-UA"/>
              </w:rPr>
              <w:t>Опл</w:t>
            </w:r>
            <w:proofErr w:type="spellEnd"/>
            <w:r w:rsidRPr="008176DC">
              <w:rPr>
                <w:sz w:val="26"/>
                <w:szCs w:val="26"/>
                <w:lang w:val="uk-UA"/>
              </w:rPr>
              <w:t xml:space="preserve"> = (</w:t>
            </w:r>
            <w:proofErr w:type="spellStart"/>
            <w:r w:rsidRPr="008176DC">
              <w:rPr>
                <w:sz w:val="26"/>
                <w:szCs w:val="26"/>
                <w:lang w:val="uk-UA"/>
              </w:rPr>
              <w:t>Вп</w:t>
            </w:r>
            <w:proofErr w:type="spellEnd"/>
            <w:r w:rsidRPr="008176DC">
              <w:rPr>
                <w:sz w:val="26"/>
                <w:szCs w:val="26"/>
                <w:lang w:val="uk-UA"/>
              </w:rPr>
              <w:t xml:space="preserve"> х </w:t>
            </w:r>
            <w:proofErr w:type="spellStart"/>
            <w:r w:rsidRPr="008176DC">
              <w:rPr>
                <w:sz w:val="26"/>
                <w:szCs w:val="26"/>
                <w:lang w:val="uk-UA"/>
              </w:rPr>
              <w:t>Сор</w:t>
            </w:r>
            <w:proofErr w:type="spellEnd"/>
            <w:r w:rsidRPr="008176DC">
              <w:rPr>
                <w:sz w:val="26"/>
                <w:szCs w:val="26"/>
                <w:lang w:val="uk-UA"/>
              </w:rPr>
              <w:t>) / 100,</w:t>
            </w:r>
          </w:p>
          <w:p w:rsidR="002219C6" w:rsidRPr="008176DC" w:rsidRDefault="002219C6" w:rsidP="002219C6">
            <w:pPr>
              <w:ind w:firstLine="540"/>
              <w:jc w:val="both"/>
              <w:rPr>
                <w:sz w:val="26"/>
                <w:szCs w:val="26"/>
                <w:lang w:val="uk-UA"/>
              </w:rPr>
            </w:pPr>
            <w:r w:rsidRPr="008176DC">
              <w:rPr>
                <w:sz w:val="26"/>
                <w:szCs w:val="26"/>
                <w:lang w:val="uk-UA"/>
              </w:rPr>
              <w:t xml:space="preserve">де </w:t>
            </w:r>
            <w:proofErr w:type="spellStart"/>
            <w:r w:rsidRPr="008176DC">
              <w:rPr>
                <w:sz w:val="26"/>
                <w:szCs w:val="26"/>
                <w:lang w:val="uk-UA"/>
              </w:rPr>
              <w:t>Опл</w:t>
            </w:r>
            <w:proofErr w:type="spellEnd"/>
            <w:r w:rsidRPr="008176DC">
              <w:rPr>
                <w:sz w:val="26"/>
                <w:szCs w:val="26"/>
                <w:lang w:val="uk-UA"/>
              </w:rPr>
              <w:t xml:space="preserve">  -   розмір річної орендної плати, грн.;</w:t>
            </w:r>
          </w:p>
          <w:p w:rsidR="002219C6" w:rsidRPr="008176DC" w:rsidRDefault="002219C6" w:rsidP="002219C6">
            <w:pPr>
              <w:ind w:firstLine="540"/>
              <w:jc w:val="both"/>
              <w:rPr>
                <w:sz w:val="26"/>
                <w:szCs w:val="26"/>
                <w:lang w:val="uk-UA"/>
              </w:rPr>
            </w:pPr>
            <w:proofErr w:type="spellStart"/>
            <w:r w:rsidRPr="008176DC">
              <w:rPr>
                <w:sz w:val="26"/>
                <w:szCs w:val="26"/>
                <w:lang w:val="uk-UA"/>
              </w:rPr>
              <w:t>Вп</w:t>
            </w:r>
            <w:proofErr w:type="spellEnd"/>
            <w:r w:rsidRPr="008176DC">
              <w:rPr>
                <w:sz w:val="26"/>
                <w:szCs w:val="26"/>
                <w:lang w:val="uk-UA"/>
              </w:rPr>
              <w:t xml:space="preserve"> - вартість орендованого майна, визначена шляхом проведення незалежної оцінки, грн.;</w:t>
            </w:r>
          </w:p>
          <w:p w:rsidR="002219C6" w:rsidRPr="008176DC" w:rsidRDefault="002219C6" w:rsidP="002219C6">
            <w:pPr>
              <w:ind w:firstLine="539"/>
              <w:jc w:val="both"/>
              <w:rPr>
                <w:sz w:val="26"/>
                <w:szCs w:val="26"/>
                <w:lang w:val="uk-UA"/>
              </w:rPr>
            </w:pPr>
            <w:proofErr w:type="spellStart"/>
            <w:r w:rsidRPr="008176DC">
              <w:rPr>
                <w:sz w:val="26"/>
                <w:szCs w:val="26"/>
                <w:lang w:val="uk-UA"/>
              </w:rPr>
              <w:t>Сор</w:t>
            </w:r>
            <w:proofErr w:type="spellEnd"/>
            <w:r w:rsidRPr="008176DC">
              <w:rPr>
                <w:sz w:val="26"/>
                <w:szCs w:val="26"/>
                <w:lang w:val="uk-UA"/>
              </w:rPr>
              <w:t xml:space="preserve"> -   орендна ставка, визначена згідно з додатком 2 цієї Методики </w:t>
            </w:r>
            <w:r w:rsidRPr="008176DC">
              <w:rPr>
                <w:b/>
                <w:sz w:val="26"/>
                <w:szCs w:val="26"/>
                <w:lang w:val="uk-UA"/>
              </w:rPr>
              <w:t>(у разі укладання договору з орендарем відповідно до статті 15 Закону України «Про оренду державного та комунального майна» або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r w:rsidRPr="008176DC">
              <w:rPr>
                <w:sz w:val="26"/>
                <w:szCs w:val="26"/>
                <w:lang w:val="uk-UA"/>
              </w:rPr>
              <w:t>.</w:t>
            </w:r>
          </w:p>
        </w:tc>
      </w:tr>
      <w:tr w:rsidR="002219C6" w:rsidRPr="00C43DC6" w:rsidTr="00AB4CB7">
        <w:tc>
          <w:tcPr>
            <w:tcW w:w="7279" w:type="dxa"/>
            <w:gridSpan w:val="2"/>
            <w:tcBorders>
              <w:bottom w:val="single" w:sz="4" w:space="0" w:color="auto"/>
            </w:tcBorders>
          </w:tcPr>
          <w:p w:rsidR="002219C6" w:rsidRPr="008176DC" w:rsidRDefault="002219C6" w:rsidP="00375C1C">
            <w:pPr>
              <w:pStyle w:val="a5"/>
              <w:spacing w:after="0"/>
              <w:ind w:firstLine="540"/>
              <w:jc w:val="both"/>
              <w:rPr>
                <w:sz w:val="26"/>
                <w:szCs w:val="26"/>
                <w:lang w:val="uk-UA"/>
              </w:rPr>
            </w:pPr>
          </w:p>
        </w:tc>
        <w:tc>
          <w:tcPr>
            <w:tcW w:w="7281" w:type="dxa"/>
            <w:gridSpan w:val="2"/>
            <w:tcBorders>
              <w:bottom w:val="single" w:sz="4" w:space="0" w:color="auto"/>
            </w:tcBorders>
          </w:tcPr>
          <w:p w:rsidR="002219C6" w:rsidRPr="008176DC" w:rsidRDefault="00081550" w:rsidP="00081550">
            <w:pPr>
              <w:pStyle w:val="Default"/>
              <w:ind w:firstLine="709"/>
              <w:jc w:val="both"/>
              <w:rPr>
                <w:b/>
                <w:sz w:val="26"/>
                <w:szCs w:val="26"/>
                <w:lang w:val="uk-UA"/>
              </w:rPr>
            </w:pPr>
            <w:r w:rsidRPr="008176DC">
              <w:rPr>
                <w:b/>
                <w:sz w:val="26"/>
                <w:szCs w:val="26"/>
                <w:lang w:val="uk-UA"/>
              </w:rPr>
              <w:t xml:space="preserve">7. Незалежна оцінка об'єкта оренди повинна враховувати його місцезнаходження і забезпеченість інженерними мережами. </w:t>
            </w:r>
          </w:p>
        </w:tc>
      </w:tr>
      <w:tr w:rsidR="002219C6" w:rsidRPr="00C43DC6" w:rsidTr="00AB4CB7">
        <w:tc>
          <w:tcPr>
            <w:tcW w:w="7279" w:type="dxa"/>
            <w:gridSpan w:val="2"/>
            <w:tcBorders>
              <w:bottom w:val="single" w:sz="4" w:space="0" w:color="auto"/>
            </w:tcBorders>
          </w:tcPr>
          <w:p w:rsidR="002219C6" w:rsidRPr="008176DC" w:rsidRDefault="002219C6" w:rsidP="00375C1C">
            <w:pPr>
              <w:pStyle w:val="a5"/>
              <w:spacing w:after="0"/>
              <w:ind w:firstLine="540"/>
              <w:jc w:val="both"/>
              <w:rPr>
                <w:sz w:val="26"/>
                <w:szCs w:val="26"/>
                <w:lang w:val="uk-UA"/>
              </w:rPr>
            </w:pPr>
          </w:p>
        </w:tc>
        <w:tc>
          <w:tcPr>
            <w:tcW w:w="7281" w:type="dxa"/>
            <w:gridSpan w:val="2"/>
            <w:tcBorders>
              <w:bottom w:val="single" w:sz="4" w:space="0" w:color="auto"/>
            </w:tcBorders>
          </w:tcPr>
          <w:p w:rsidR="002219C6" w:rsidRPr="008176DC" w:rsidRDefault="00081550" w:rsidP="00081550">
            <w:pPr>
              <w:pStyle w:val="Default"/>
              <w:ind w:firstLine="709"/>
              <w:jc w:val="both"/>
              <w:rPr>
                <w:b/>
                <w:sz w:val="26"/>
                <w:szCs w:val="26"/>
                <w:lang w:val="uk-UA"/>
              </w:rPr>
            </w:pPr>
            <w:r w:rsidRPr="008176DC">
              <w:rPr>
                <w:b/>
                <w:sz w:val="26"/>
                <w:szCs w:val="26"/>
                <w:lang w:val="uk-UA"/>
              </w:rPr>
              <w:t xml:space="preserve">8. Результати незалежної оцінки є чинними протягом 12 місяців від дати оцінки, якщо інший термін не передбачено у звіті з незалежної оцінки. </w:t>
            </w:r>
          </w:p>
        </w:tc>
      </w:tr>
      <w:tr w:rsidR="002219C6" w:rsidRPr="008176DC" w:rsidTr="00AB4CB7">
        <w:tc>
          <w:tcPr>
            <w:tcW w:w="7279" w:type="dxa"/>
            <w:gridSpan w:val="2"/>
            <w:tcBorders>
              <w:bottom w:val="single" w:sz="4" w:space="0" w:color="auto"/>
            </w:tcBorders>
          </w:tcPr>
          <w:p w:rsidR="002219C6" w:rsidRPr="008176DC" w:rsidRDefault="002219C6" w:rsidP="00375C1C">
            <w:pPr>
              <w:pStyle w:val="a5"/>
              <w:spacing w:after="0"/>
              <w:ind w:firstLine="540"/>
              <w:jc w:val="both"/>
              <w:rPr>
                <w:sz w:val="26"/>
                <w:szCs w:val="26"/>
                <w:lang w:val="uk-UA"/>
              </w:rPr>
            </w:pPr>
          </w:p>
        </w:tc>
        <w:tc>
          <w:tcPr>
            <w:tcW w:w="7281" w:type="dxa"/>
            <w:gridSpan w:val="2"/>
            <w:tcBorders>
              <w:bottom w:val="single" w:sz="4" w:space="0" w:color="auto"/>
            </w:tcBorders>
          </w:tcPr>
          <w:p w:rsidR="002219C6" w:rsidRPr="008176DC" w:rsidRDefault="00081550" w:rsidP="00081550">
            <w:pPr>
              <w:pStyle w:val="Default"/>
              <w:ind w:firstLine="709"/>
              <w:jc w:val="both"/>
              <w:rPr>
                <w:b/>
                <w:sz w:val="26"/>
                <w:szCs w:val="26"/>
                <w:lang w:val="uk-UA"/>
              </w:rPr>
            </w:pPr>
            <w:r w:rsidRPr="008176DC">
              <w:rPr>
                <w:b/>
                <w:sz w:val="26"/>
                <w:szCs w:val="26"/>
                <w:lang w:val="uk-UA"/>
              </w:rPr>
              <w:t xml:space="preserve">9. 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Потенційні орендарі подають свої закриті цінові пропозиції згідно з Порядком передачі в оренду державного та комунального майна, затвердженим постановою Кабінету Міністрів України від 03 червня 2020 року № 483. </w:t>
            </w:r>
          </w:p>
        </w:tc>
      </w:tr>
      <w:tr w:rsidR="002219C6" w:rsidRPr="008176DC" w:rsidTr="00AB4CB7">
        <w:tc>
          <w:tcPr>
            <w:tcW w:w="7279" w:type="dxa"/>
            <w:gridSpan w:val="2"/>
            <w:tcBorders>
              <w:bottom w:val="single" w:sz="4" w:space="0" w:color="auto"/>
            </w:tcBorders>
          </w:tcPr>
          <w:p w:rsidR="002219C6" w:rsidRPr="008176DC" w:rsidRDefault="00081550" w:rsidP="00081550">
            <w:pPr>
              <w:ind w:firstLine="465"/>
              <w:jc w:val="both"/>
              <w:rPr>
                <w:sz w:val="26"/>
                <w:szCs w:val="26"/>
                <w:lang w:val="uk-UA"/>
              </w:rPr>
            </w:pPr>
            <w:r w:rsidRPr="008176DC">
              <w:rPr>
                <w:sz w:val="26"/>
                <w:szCs w:val="26"/>
                <w:lang w:val="uk-UA"/>
              </w:rPr>
              <w:t xml:space="preserve">8. Розмір річної орендної плати за оренду нерухомого та індивідуально визначеного майна бюджетним закладам, установам, організаціям, які утримуються за рахунок місцевих бюджетів, державним та комунальним закладам охорони здоров’я, державним та комунальним телерадіоорганізаціям, редакціям державних і комунальних періодичних видань та періодичних видань, заснованих об’єднаннями громадян, державними науково-дослідними установами, підприємствам зв’язку за площу нежитлових приміщень, де безпосередньо відбувається розповсюдження вищезазначених періодичних видань, Товариству Червоного Хреста України та його місцевим організаціям; громадським організаціям, засновники яких є учасники бойових дій та зареєстровані на території міста Суми не менше трьох років; органам судів, прокуратури, Міністерства оборони, Служби безпеки України, асоціаціям органів місцевого самоврядування із всеукраїнським статусом, організаціям та спортивним школам, які фінансуються або </w:t>
            </w:r>
            <w:r w:rsidRPr="008176DC">
              <w:rPr>
                <w:sz w:val="26"/>
                <w:szCs w:val="26"/>
                <w:lang w:val="uk-UA"/>
              </w:rPr>
              <w:lastRenderedPageBreak/>
              <w:t xml:space="preserve">отримують фінансову підтримку з міського чи обласного бюджету, організаціям УТОС, УТОГ становить 1 гривню. </w:t>
            </w:r>
          </w:p>
        </w:tc>
        <w:tc>
          <w:tcPr>
            <w:tcW w:w="7281" w:type="dxa"/>
            <w:gridSpan w:val="2"/>
            <w:tcBorders>
              <w:bottom w:val="single" w:sz="4" w:space="0" w:color="auto"/>
            </w:tcBorders>
          </w:tcPr>
          <w:p w:rsidR="00081550" w:rsidRPr="008176DC" w:rsidRDefault="00081550" w:rsidP="00081550">
            <w:pPr>
              <w:pStyle w:val="Default"/>
              <w:ind w:firstLine="709"/>
              <w:jc w:val="both"/>
              <w:rPr>
                <w:sz w:val="26"/>
                <w:szCs w:val="26"/>
                <w:lang w:val="uk-UA"/>
              </w:rPr>
            </w:pPr>
            <w:r w:rsidRPr="008176DC">
              <w:rPr>
                <w:sz w:val="26"/>
                <w:szCs w:val="26"/>
                <w:lang w:val="uk-UA"/>
              </w:rPr>
              <w:lastRenderedPageBreak/>
              <w:t xml:space="preserve">10. Розмір річної орендної плати за оренду нерухомого майна та індивідуально визначеного майна 1 гривня встановлюється таким орендарям: </w:t>
            </w:r>
          </w:p>
          <w:p w:rsidR="00081550" w:rsidRPr="008176DC" w:rsidRDefault="00081550" w:rsidP="00081550">
            <w:pPr>
              <w:pStyle w:val="Default"/>
              <w:ind w:firstLine="709"/>
              <w:jc w:val="both"/>
              <w:rPr>
                <w:sz w:val="26"/>
                <w:szCs w:val="26"/>
                <w:lang w:val="uk-UA"/>
              </w:rPr>
            </w:pPr>
            <w:r w:rsidRPr="008176DC">
              <w:rPr>
                <w:sz w:val="26"/>
                <w:szCs w:val="26"/>
                <w:lang w:val="uk-UA"/>
              </w:rPr>
              <w:t>закладам, установам, організаціям, які утримуються за рахунок місцевих бюджетів;</w:t>
            </w:r>
          </w:p>
          <w:p w:rsidR="00410E73" w:rsidRPr="00410E73" w:rsidRDefault="00410E73" w:rsidP="00410E73">
            <w:pPr>
              <w:pStyle w:val="Default"/>
              <w:ind w:firstLine="709"/>
              <w:jc w:val="both"/>
              <w:rPr>
                <w:b/>
                <w:sz w:val="26"/>
                <w:szCs w:val="26"/>
                <w:lang w:val="uk-UA"/>
              </w:rPr>
            </w:pPr>
            <w:r w:rsidRPr="00410E73">
              <w:rPr>
                <w:b/>
                <w:sz w:val="26"/>
                <w:szCs w:val="26"/>
                <w:lang w:val="uk-UA"/>
              </w:rPr>
              <w:t xml:space="preserve">комунальним закладам та некомерційним підприємствам охорони здоров’я; </w:t>
            </w:r>
          </w:p>
          <w:p w:rsidR="00081550" w:rsidRPr="008176DC" w:rsidRDefault="00081550" w:rsidP="00081550">
            <w:pPr>
              <w:pStyle w:val="Default"/>
              <w:ind w:firstLine="709"/>
              <w:jc w:val="both"/>
              <w:rPr>
                <w:sz w:val="26"/>
                <w:szCs w:val="26"/>
                <w:lang w:val="uk-UA"/>
              </w:rPr>
            </w:pPr>
            <w:r w:rsidRPr="008176DC">
              <w:rPr>
                <w:sz w:val="26"/>
                <w:szCs w:val="26"/>
                <w:lang w:val="uk-UA"/>
              </w:rPr>
              <w:t>державним та комунальним телерадіоорганізаціям;</w:t>
            </w:r>
          </w:p>
          <w:p w:rsidR="00081550" w:rsidRPr="008176DC" w:rsidRDefault="00081550" w:rsidP="00081550">
            <w:pPr>
              <w:pStyle w:val="Default"/>
              <w:ind w:firstLine="709"/>
              <w:jc w:val="both"/>
              <w:rPr>
                <w:sz w:val="26"/>
                <w:szCs w:val="26"/>
                <w:lang w:val="uk-UA"/>
              </w:rPr>
            </w:pPr>
            <w:r w:rsidRPr="008176DC">
              <w:rPr>
                <w:sz w:val="26"/>
                <w:szCs w:val="26"/>
                <w:lang w:val="uk-UA"/>
              </w:rPr>
              <w:t xml:space="preserve">редакціям державних і комунальних періодичних видань та періодичних видань, заснованих об’єднаннями громадян, державними науково-дослідними установами; </w:t>
            </w:r>
          </w:p>
          <w:p w:rsidR="00081550" w:rsidRPr="008176DC" w:rsidRDefault="00081550" w:rsidP="00081550">
            <w:pPr>
              <w:pStyle w:val="Default"/>
              <w:ind w:firstLine="709"/>
              <w:jc w:val="both"/>
              <w:rPr>
                <w:sz w:val="26"/>
                <w:szCs w:val="26"/>
                <w:lang w:val="uk-UA"/>
              </w:rPr>
            </w:pPr>
            <w:r w:rsidRPr="008176DC">
              <w:rPr>
                <w:sz w:val="26"/>
                <w:szCs w:val="26"/>
                <w:lang w:val="uk-UA"/>
              </w:rPr>
              <w:t xml:space="preserve">підприємствам зв’язку – за площу нежитлових приміщень, які безпосередньо задіяні для розповсюдження вищезазначених періодичних видань; </w:t>
            </w:r>
          </w:p>
          <w:p w:rsidR="00081550" w:rsidRPr="008176DC" w:rsidRDefault="00081550" w:rsidP="00081550">
            <w:pPr>
              <w:pStyle w:val="Default"/>
              <w:ind w:firstLine="709"/>
              <w:jc w:val="both"/>
              <w:rPr>
                <w:sz w:val="26"/>
                <w:szCs w:val="26"/>
                <w:lang w:val="uk-UA"/>
              </w:rPr>
            </w:pPr>
            <w:r w:rsidRPr="008176DC">
              <w:rPr>
                <w:sz w:val="26"/>
                <w:szCs w:val="26"/>
                <w:lang w:val="uk-UA"/>
              </w:rPr>
              <w:t>Товариству Червоного Хреста України та його місцевим організаціям;</w:t>
            </w:r>
          </w:p>
          <w:p w:rsidR="00081550" w:rsidRPr="008176DC" w:rsidRDefault="00081550" w:rsidP="00081550">
            <w:pPr>
              <w:pStyle w:val="Default"/>
              <w:ind w:firstLine="709"/>
              <w:jc w:val="both"/>
              <w:rPr>
                <w:sz w:val="26"/>
                <w:szCs w:val="26"/>
                <w:lang w:val="uk-UA"/>
              </w:rPr>
            </w:pPr>
            <w:r w:rsidRPr="008176DC">
              <w:rPr>
                <w:sz w:val="26"/>
                <w:szCs w:val="26"/>
                <w:lang w:val="uk-UA"/>
              </w:rPr>
              <w:lastRenderedPageBreak/>
              <w:t>структурним підрозділам апарату Міністерства оборони, Служби безпеки України, судів,</w:t>
            </w:r>
            <w:r w:rsidR="00410E73">
              <w:rPr>
                <w:sz w:val="26"/>
                <w:szCs w:val="26"/>
                <w:lang w:val="uk-UA"/>
              </w:rPr>
              <w:t xml:space="preserve"> </w:t>
            </w:r>
            <w:r w:rsidR="00410E73" w:rsidRPr="00302EBB">
              <w:rPr>
                <w:b/>
                <w:sz w:val="26"/>
                <w:szCs w:val="26"/>
                <w:lang w:val="uk-UA"/>
              </w:rPr>
              <w:t>судової охорони,</w:t>
            </w:r>
            <w:r w:rsidRPr="008176DC">
              <w:rPr>
                <w:sz w:val="26"/>
                <w:szCs w:val="26"/>
                <w:lang w:val="uk-UA"/>
              </w:rPr>
              <w:t xml:space="preserve"> прокуратури;  </w:t>
            </w:r>
          </w:p>
          <w:p w:rsidR="00081550" w:rsidRPr="008176DC" w:rsidRDefault="00081550" w:rsidP="00081550">
            <w:pPr>
              <w:pStyle w:val="Default"/>
              <w:ind w:firstLine="709"/>
              <w:jc w:val="both"/>
              <w:rPr>
                <w:sz w:val="26"/>
                <w:szCs w:val="26"/>
                <w:lang w:val="uk-UA"/>
              </w:rPr>
            </w:pPr>
            <w:r w:rsidRPr="008176DC">
              <w:rPr>
                <w:sz w:val="26"/>
                <w:szCs w:val="26"/>
                <w:lang w:val="uk-UA"/>
              </w:rPr>
              <w:t>асоціаціям органів місцевого самоврядування із всеукраїнським статусом;</w:t>
            </w:r>
          </w:p>
          <w:p w:rsidR="00081550" w:rsidRPr="008176DC" w:rsidRDefault="00081550" w:rsidP="00081550">
            <w:pPr>
              <w:pStyle w:val="Default"/>
              <w:ind w:firstLine="709"/>
              <w:jc w:val="both"/>
              <w:rPr>
                <w:sz w:val="26"/>
                <w:szCs w:val="26"/>
                <w:lang w:val="uk-UA"/>
              </w:rPr>
            </w:pPr>
            <w:r w:rsidRPr="008176DC">
              <w:rPr>
                <w:sz w:val="26"/>
                <w:szCs w:val="26"/>
                <w:lang w:val="uk-UA"/>
              </w:rPr>
              <w:t xml:space="preserve">організаціям та спортивним школам, які фінансуються або отримують фінансову підтримку </w:t>
            </w:r>
            <w:r w:rsidR="00C43DC6" w:rsidRPr="00C43DC6">
              <w:rPr>
                <w:sz w:val="26"/>
                <w:szCs w:val="26"/>
                <w:lang w:val="uk-UA"/>
              </w:rPr>
              <w:t>з місцевого бюджету</w:t>
            </w:r>
            <w:r w:rsidRPr="008176DC">
              <w:rPr>
                <w:sz w:val="26"/>
                <w:szCs w:val="26"/>
                <w:lang w:val="uk-UA"/>
              </w:rPr>
              <w:t>;</w:t>
            </w:r>
          </w:p>
          <w:p w:rsidR="00081550" w:rsidRPr="008176DC" w:rsidRDefault="00081550" w:rsidP="00081550">
            <w:pPr>
              <w:pStyle w:val="Default"/>
              <w:ind w:firstLine="709"/>
              <w:jc w:val="both"/>
              <w:rPr>
                <w:sz w:val="26"/>
                <w:szCs w:val="26"/>
                <w:lang w:val="uk-UA"/>
              </w:rPr>
            </w:pPr>
            <w:r w:rsidRPr="008176DC">
              <w:rPr>
                <w:sz w:val="26"/>
                <w:szCs w:val="26"/>
                <w:lang w:val="uk-UA"/>
              </w:rPr>
              <w:t xml:space="preserve">організаціям </w:t>
            </w:r>
            <w:proofErr w:type="spellStart"/>
            <w:r w:rsidRPr="008176DC">
              <w:rPr>
                <w:sz w:val="26"/>
                <w:szCs w:val="26"/>
              </w:rPr>
              <w:t>Українського</w:t>
            </w:r>
            <w:proofErr w:type="spellEnd"/>
            <w:r w:rsidRPr="008176DC">
              <w:rPr>
                <w:sz w:val="26"/>
                <w:szCs w:val="26"/>
              </w:rPr>
              <w:t xml:space="preserve"> </w:t>
            </w:r>
            <w:proofErr w:type="spellStart"/>
            <w:r w:rsidRPr="008176DC">
              <w:rPr>
                <w:sz w:val="26"/>
                <w:szCs w:val="26"/>
              </w:rPr>
              <w:t>товариства</w:t>
            </w:r>
            <w:proofErr w:type="spellEnd"/>
            <w:r w:rsidRPr="008176DC">
              <w:rPr>
                <w:sz w:val="26"/>
                <w:szCs w:val="26"/>
              </w:rPr>
              <w:t xml:space="preserve"> </w:t>
            </w:r>
            <w:proofErr w:type="spellStart"/>
            <w:r w:rsidRPr="008176DC">
              <w:rPr>
                <w:sz w:val="26"/>
                <w:szCs w:val="26"/>
              </w:rPr>
              <w:t>сліпих</w:t>
            </w:r>
            <w:proofErr w:type="spellEnd"/>
            <w:r w:rsidRPr="008176DC">
              <w:rPr>
                <w:sz w:val="26"/>
                <w:szCs w:val="26"/>
              </w:rPr>
              <w:t xml:space="preserve"> та </w:t>
            </w:r>
            <w:proofErr w:type="spellStart"/>
            <w:r w:rsidRPr="008176DC">
              <w:rPr>
                <w:sz w:val="26"/>
                <w:szCs w:val="26"/>
              </w:rPr>
              <w:t>Українського</w:t>
            </w:r>
            <w:proofErr w:type="spellEnd"/>
            <w:r w:rsidRPr="008176DC">
              <w:rPr>
                <w:sz w:val="26"/>
                <w:szCs w:val="26"/>
              </w:rPr>
              <w:t xml:space="preserve"> </w:t>
            </w:r>
            <w:proofErr w:type="spellStart"/>
            <w:r w:rsidRPr="008176DC">
              <w:rPr>
                <w:sz w:val="26"/>
                <w:szCs w:val="26"/>
              </w:rPr>
              <w:t>товариства</w:t>
            </w:r>
            <w:proofErr w:type="spellEnd"/>
            <w:r w:rsidRPr="008176DC">
              <w:rPr>
                <w:sz w:val="26"/>
                <w:szCs w:val="26"/>
              </w:rPr>
              <w:t xml:space="preserve"> глухих</w:t>
            </w:r>
            <w:r w:rsidRPr="008176DC">
              <w:rPr>
                <w:sz w:val="26"/>
                <w:szCs w:val="26"/>
                <w:lang w:val="uk-UA"/>
              </w:rPr>
              <w:t>;</w:t>
            </w:r>
          </w:p>
          <w:p w:rsidR="00081550" w:rsidRPr="008176DC" w:rsidRDefault="00081550" w:rsidP="00081550">
            <w:pPr>
              <w:pStyle w:val="Default"/>
              <w:ind w:firstLine="709"/>
              <w:jc w:val="both"/>
              <w:rPr>
                <w:sz w:val="26"/>
                <w:szCs w:val="26"/>
                <w:lang w:val="uk-UA"/>
              </w:rPr>
            </w:pPr>
            <w:r w:rsidRPr="008176DC">
              <w:rPr>
                <w:sz w:val="26"/>
                <w:szCs w:val="26"/>
                <w:lang w:val="uk-UA"/>
              </w:rPr>
              <w:t>громадським організаціям, засновники яких є учасники бойових дій та зареєстровані на території міста Суми не менше трьох років;</w:t>
            </w:r>
          </w:p>
          <w:p w:rsidR="00081550" w:rsidRPr="008176DC" w:rsidRDefault="00081550" w:rsidP="00081550">
            <w:pPr>
              <w:ind w:firstLine="709"/>
              <w:jc w:val="both"/>
              <w:rPr>
                <w:b/>
                <w:sz w:val="26"/>
                <w:szCs w:val="26"/>
                <w:lang w:val="uk-UA"/>
              </w:rPr>
            </w:pPr>
            <w:r w:rsidRPr="008176DC">
              <w:rPr>
                <w:b/>
                <w:sz w:val="26"/>
                <w:szCs w:val="26"/>
                <w:lang w:val="uk-UA"/>
              </w:rPr>
              <w:t>Пенсійному фонду України та його органам;</w:t>
            </w:r>
          </w:p>
          <w:p w:rsidR="00081550" w:rsidRPr="008176DC" w:rsidRDefault="00081550" w:rsidP="00081550">
            <w:pPr>
              <w:ind w:firstLine="709"/>
              <w:jc w:val="both"/>
              <w:rPr>
                <w:b/>
                <w:sz w:val="26"/>
                <w:szCs w:val="26"/>
                <w:lang w:val="uk-UA"/>
              </w:rPr>
            </w:pPr>
            <w:r w:rsidRPr="008176DC">
              <w:rPr>
                <w:b/>
                <w:sz w:val="26"/>
                <w:szCs w:val="26"/>
                <w:lang w:val="uk-UA"/>
              </w:rPr>
              <w:t>Державній казначейській службі України та її територіальним органам;</w:t>
            </w:r>
          </w:p>
          <w:p w:rsidR="002219C6" w:rsidRPr="008176DC" w:rsidRDefault="00081550" w:rsidP="00081550">
            <w:pPr>
              <w:ind w:firstLine="709"/>
              <w:jc w:val="both"/>
              <w:rPr>
                <w:b/>
                <w:sz w:val="26"/>
                <w:szCs w:val="26"/>
                <w:lang w:val="uk-UA"/>
              </w:rPr>
            </w:pPr>
            <w:r w:rsidRPr="008176DC">
              <w:rPr>
                <w:b/>
                <w:sz w:val="26"/>
                <w:szCs w:val="26"/>
                <w:lang w:val="uk-UA"/>
              </w:rPr>
              <w:t xml:space="preserve">народним депутатам України і депутатам місцевих рад для розміщення громадської приймальні – за площу до 30 </w:t>
            </w:r>
            <w:proofErr w:type="spellStart"/>
            <w:r w:rsidRPr="008176DC">
              <w:rPr>
                <w:b/>
                <w:sz w:val="26"/>
                <w:szCs w:val="26"/>
                <w:lang w:val="uk-UA"/>
              </w:rPr>
              <w:t>кв.м</w:t>
            </w:r>
            <w:proofErr w:type="spellEnd"/>
            <w:r w:rsidRPr="008176DC">
              <w:rPr>
                <w:b/>
                <w:sz w:val="26"/>
                <w:szCs w:val="26"/>
                <w:lang w:val="uk-UA"/>
              </w:rPr>
              <w:t xml:space="preserve"> включно.</w:t>
            </w:r>
          </w:p>
        </w:tc>
      </w:tr>
      <w:tr w:rsidR="002219C6" w:rsidRPr="008176DC" w:rsidTr="00AB4CB7">
        <w:tc>
          <w:tcPr>
            <w:tcW w:w="7279" w:type="dxa"/>
            <w:gridSpan w:val="2"/>
            <w:tcBorders>
              <w:bottom w:val="single" w:sz="4" w:space="0" w:color="auto"/>
            </w:tcBorders>
          </w:tcPr>
          <w:p w:rsidR="002219C6" w:rsidRPr="008176DC" w:rsidRDefault="00081550" w:rsidP="00081550">
            <w:pPr>
              <w:ind w:firstLine="600"/>
              <w:jc w:val="both"/>
              <w:rPr>
                <w:sz w:val="26"/>
                <w:szCs w:val="26"/>
                <w:lang w:val="uk-UA"/>
              </w:rPr>
            </w:pPr>
            <w:r w:rsidRPr="008176DC">
              <w:rPr>
                <w:sz w:val="26"/>
                <w:szCs w:val="26"/>
                <w:lang w:val="uk-UA"/>
              </w:rPr>
              <w:lastRenderedPageBreak/>
              <w:t>Рішенням Сумської міської ради для орендарів може встановлюватися інший розмір орендної плати, ніж передбачений цією Методикою. Звернення щодо встановлення окремо визначеного розміру орендної плати на наступний бюджетний рік орендарями подаються на ім’я міського голови м. Суми до першого серпня поточного року.</w:t>
            </w:r>
          </w:p>
        </w:tc>
        <w:tc>
          <w:tcPr>
            <w:tcW w:w="7281" w:type="dxa"/>
            <w:gridSpan w:val="2"/>
            <w:tcBorders>
              <w:bottom w:val="single" w:sz="4" w:space="0" w:color="auto"/>
            </w:tcBorders>
          </w:tcPr>
          <w:p w:rsidR="002219C6" w:rsidRPr="008176DC" w:rsidRDefault="00081550" w:rsidP="00081550">
            <w:pPr>
              <w:ind w:firstLine="600"/>
              <w:jc w:val="both"/>
              <w:rPr>
                <w:sz w:val="26"/>
                <w:szCs w:val="26"/>
                <w:lang w:val="uk-UA"/>
              </w:rPr>
            </w:pPr>
            <w:r w:rsidRPr="008176DC">
              <w:rPr>
                <w:sz w:val="26"/>
                <w:szCs w:val="26"/>
                <w:lang w:val="uk-UA"/>
              </w:rPr>
              <w:t xml:space="preserve">Рішенням Сумської міської ради для орендарів може встановлюватися інший розмір орендної плати, ніж передбачений цією Методикою. Звернення щодо встановлення окремо визначеного розміру орендної плати на наступний бюджетний рік орендарями подаються на ім’я Сумського міського голови, </w:t>
            </w:r>
            <w:r w:rsidRPr="008176DC">
              <w:rPr>
                <w:b/>
                <w:sz w:val="26"/>
                <w:szCs w:val="26"/>
                <w:lang w:val="uk-UA"/>
              </w:rPr>
              <w:t>як правило,</w:t>
            </w:r>
            <w:r w:rsidRPr="008176DC">
              <w:rPr>
                <w:sz w:val="26"/>
                <w:szCs w:val="26"/>
                <w:lang w:val="uk-UA"/>
              </w:rPr>
              <w:t xml:space="preserve"> до першого серпня поточного року.</w:t>
            </w:r>
          </w:p>
        </w:tc>
      </w:tr>
      <w:tr w:rsidR="002219C6" w:rsidRPr="00C43DC6" w:rsidTr="00AB4CB7">
        <w:tc>
          <w:tcPr>
            <w:tcW w:w="7279" w:type="dxa"/>
            <w:gridSpan w:val="2"/>
            <w:tcBorders>
              <w:bottom w:val="single" w:sz="4" w:space="0" w:color="auto"/>
            </w:tcBorders>
          </w:tcPr>
          <w:p w:rsidR="002219C6" w:rsidRPr="008176DC" w:rsidRDefault="00081550" w:rsidP="00081550">
            <w:pPr>
              <w:numPr>
                <w:ilvl w:val="0"/>
                <w:numId w:val="2"/>
              </w:numPr>
              <w:tabs>
                <w:tab w:val="clear" w:pos="360"/>
                <w:tab w:val="num" w:pos="0"/>
                <w:tab w:val="left" w:pos="900"/>
              </w:tabs>
              <w:ind w:left="0" w:firstLine="540"/>
              <w:jc w:val="both"/>
              <w:rPr>
                <w:sz w:val="26"/>
                <w:szCs w:val="26"/>
                <w:lang w:val="uk-UA"/>
              </w:rPr>
            </w:pPr>
            <w:r w:rsidRPr="008176DC">
              <w:rPr>
                <w:sz w:val="26"/>
                <w:szCs w:val="26"/>
                <w:lang w:val="uk-UA"/>
              </w:rPr>
              <w:t xml:space="preserve">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менше як </w:t>
            </w:r>
            <w:r w:rsidRPr="008176DC">
              <w:rPr>
                <w:b/>
                <w:sz w:val="26"/>
                <w:szCs w:val="26"/>
                <w:lang w:val="uk-UA"/>
              </w:rPr>
              <w:t>10 відсотків вартості орендованого майна за результатами незалежної оцінки</w:t>
            </w:r>
            <w:r w:rsidRPr="008176DC">
              <w:rPr>
                <w:sz w:val="26"/>
                <w:szCs w:val="26"/>
                <w:lang w:val="uk-UA"/>
              </w:rPr>
              <w:t xml:space="preserve">, а у разі, </w:t>
            </w:r>
            <w:r w:rsidRPr="008176DC">
              <w:rPr>
                <w:strike/>
                <w:sz w:val="26"/>
                <w:szCs w:val="26"/>
                <w:lang w:val="uk-UA"/>
              </w:rPr>
              <w:t xml:space="preserve">коли орендарем є суб’єкт малого </w:t>
            </w:r>
            <w:r w:rsidRPr="008176DC">
              <w:rPr>
                <w:strike/>
                <w:sz w:val="26"/>
                <w:szCs w:val="26"/>
                <w:lang w:val="uk-UA"/>
              </w:rPr>
              <w:lastRenderedPageBreak/>
              <w:t>підприємництва, - не менш як 7 відсотків вартості орендованого майна за результатами такої оцінки</w:t>
            </w:r>
            <w:r w:rsidRPr="008176DC">
              <w:rPr>
                <w:sz w:val="26"/>
                <w:szCs w:val="26"/>
                <w:lang w:val="uk-UA"/>
              </w:rPr>
              <w:t>.</w:t>
            </w:r>
          </w:p>
        </w:tc>
        <w:tc>
          <w:tcPr>
            <w:tcW w:w="7281" w:type="dxa"/>
            <w:gridSpan w:val="2"/>
            <w:tcBorders>
              <w:bottom w:val="single" w:sz="4" w:space="0" w:color="auto"/>
            </w:tcBorders>
          </w:tcPr>
          <w:p w:rsidR="002219C6" w:rsidRPr="008176DC" w:rsidRDefault="00081550" w:rsidP="008176DC">
            <w:pPr>
              <w:pStyle w:val="Default"/>
              <w:ind w:firstLine="709"/>
              <w:jc w:val="both"/>
              <w:rPr>
                <w:sz w:val="26"/>
                <w:szCs w:val="26"/>
                <w:lang w:val="uk-UA"/>
              </w:rPr>
            </w:pPr>
            <w:r w:rsidRPr="008176DC">
              <w:rPr>
                <w:sz w:val="26"/>
                <w:szCs w:val="26"/>
                <w:lang w:val="uk-UA"/>
              </w:rPr>
              <w:lastRenderedPageBreak/>
              <w:t xml:space="preserve">11. Розмір річної орендної плати в разі оренди іншого окремого індивідуально визначеного майна </w:t>
            </w:r>
            <w:r w:rsidRPr="008176DC">
              <w:rPr>
                <w:b/>
                <w:sz w:val="26"/>
                <w:szCs w:val="26"/>
                <w:lang w:val="uk-UA"/>
              </w:rPr>
              <w:t xml:space="preserve">(крім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затвердженим постановою Кабінету Міністрів України від 03 червня 2020 </w:t>
            </w:r>
            <w:r w:rsidRPr="008176DC">
              <w:rPr>
                <w:b/>
                <w:sz w:val="26"/>
                <w:szCs w:val="26"/>
                <w:lang w:val="uk-UA"/>
              </w:rPr>
              <w:lastRenderedPageBreak/>
              <w:t>року № 483)</w:t>
            </w:r>
            <w:r w:rsidRPr="008176DC">
              <w:rPr>
                <w:sz w:val="26"/>
                <w:szCs w:val="26"/>
                <w:lang w:val="uk-UA"/>
              </w:rPr>
              <w:t xml:space="preserve">, встановлюється на рівні </w:t>
            </w:r>
            <w:r w:rsidRPr="008176DC">
              <w:rPr>
                <w:b/>
                <w:sz w:val="26"/>
                <w:szCs w:val="26"/>
                <w:lang w:val="uk-UA"/>
              </w:rPr>
              <w:t>12 відсотків</w:t>
            </w:r>
            <w:r w:rsidRPr="008176DC">
              <w:rPr>
                <w:sz w:val="26"/>
                <w:szCs w:val="26"/>
                <w:lang w:val="uk-UA"/>
              </w:rPr>
              <w:t xml:space="preserve"> від вартості об’єкта оренди, з урахуванням вимог статті 8 Закону України «Про оренду державного та комунального майна». </w:t>
            </w:r>
          </w:p>
        </w:tc>
      </w:tr>
      <w:tr w:rsidR="00084E8F" w:rsidRPr="00C43DC6" w:rsidTr="00AB4CB7">
        <w:tc>
          <w:tcPr>
            <w:tcW w:w="7279" w:type="dxa"/>
            <w:gridSpan w:val="2"/>
            <w:tcBorders>
              <w:bottom w:val="single" w:sz="4" w:space="0" w:color="auto"/>
            </w:tcBorders>
          </w:tcPr>
          <w:p w:rsidR="00084E8F" w:rsidRPr="008176DC" w:rsidRDefault="00084E8F">
            <w:pPr>
              <w:rPr>
                <w:sz w:val="26"/>
                <w:szCs w:val="26"/>
                <w:lang w:val="uk-UA"/>
              </w:rPr>
            </w:pPr>
          </w:p>
        </w:tc>
        <w:tc>
          <w:tcPr>
            <w:tcW w:w="7281" w:type="dxa"/>
            <w:gridSpan w:val="2"/>
            <w:tcBorders>
              <w:bottom w:val="single" w:sz="4" w:space="0" w:color="auto"/>
            </w:tcBorders>
          </w:tcPr>
          <w:p w:rsidR="00084E8F" w:rsidRPr="008176DC" w:rsidRDefault="008176DC" w:rsidP="008176DC">
            <w:pPr>
              <w:pStyle w:val="Default"/>
              <w:ind w:firstLine="709"/>
              <w:jc w:val="both"/>
              <w:rPr>
                <w:b/>
                <w:sz w:val="26"/>
                <w:szCs w:val="26"/>
                <w:lang w:val="uk-UA"/>
              </w:rPr>
            </w:pPr>
            <w:r w:rsidRPr="008176DC">
              <w:rPr>
                <w:b/>
                <w:sz w:val="26"/>
                <w:szCs w:val="26"/>
                <w:lang w:val="uk-UA"/>
              </w:rPr>
              <w:t xml:space="preserve">12. Якщо орендна плата визначена на підставі цієї Методики (крім пункту 10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акту приймання-передавання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tc>
      </w:tr>
      <w:tr w:rsidR="008176DC" w:rsidRPr="008176DC" w:rsidTr="00AB4CB7">
        <w:tc>
          <w:tcPr>
            <w:tcW w:w="7279" w:type="dxa"/>
            <w:gridSpan w:val="2"/>
            <w:tcBorders>
              <w:bottom w:val="single" w:sz="4" w:space="0" w:color="auto"/>
            </w:tcBorders>
          </w:tcPr>
          <w:p w:rsidR="008176DC" w:rsidRPr="008176DC" w:rsidRDefault="008176DC">
            <w:pPr>
              <w:rPr>
                <w:sz w:val="26"/>
                <w:szCs w:val="26"/>
                <w:lang w:val="uk-UA"/>
              </w:rPr>
            </w:pPr>
          </w:p>
        </w:tc>
        <w:tc>
          <w:tcPr>
            <w:tcW w:w="7281" w:type="dxa"/>
            <w:gridSpan w:val="2"/>
            <w:tcBorders>
              <w:bottom w:val="single" w:sz="4" w:space="0" w:color="auto"/>
            </w:tcBorders>
          </w:tcPr>
          <w:p w:rsidR="008176DC" w:rsidRPr="008176DC" w:rsidRDefault="008176DC" w:rsidP="008176DC">
            <w:pPr>
              <w:pStyle w:val="Default"/>
              <w:ind w:firstLine="709"/>
              <w:jc w:val="both"/>
              <w:rPr>
                <w:b/>
                <w:sz w:val="26"/>
                <w:szCs w:val="26"/>
                <w:lang w:val="uk-UA"/>
              </w:rPr>
            </w:pPr>
            <w:r w:rsidRPr="008176DC">
              <w:rPr>
                <w:b/>
                <w:sz w:val="26"/>
                <w:szCs w:val="26"/>
                <w:lang w:val="uk-UA"/>
              </w:rPr>
              <w:t xml:space="preserve">13. Якщо орендна плата визначена відповідно до пункту 10 цієї Методики або за наслідками проведення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 </w:t>
            </w:r>
          </w:p>
        </w:tc>
      </w:tr>
      <w:tr w:rsidR="008176DC" w:rsidRPr="008176DC" w:rsidTr="00AB4CB7">
        <w:tc>
          <w:tcPr>
            <w:tcW w:w="7279" w:type="dxa"/>
            <w:gridSpan w:val="2"/>
            <w:tcBorders>
              <w:bottom w:val="single" w:sz="4" w:space="0" w:color="auto"/>
            </w:tcBorders>
          </w:tcPr>
          <w:p w:rsidR="008176DC" w:rsidRDefault="008176DC" w:rsidP="008176DC">
            <w:pPr>
              <w:pStyle w:val="a5"/>
              <w:spacing w:after="0"/>
              <w:jc w:val="both"/>
              <w:rPr>
                <w:strike/>
                <w:sz w:val="26"/>
                <w:szCs w:val="26"/>
                <w:lang w:val="uk-UA"/>
              </w:rPr>
            </w:pPr>
            <w:r w:rsidRPr="008176DC">
              <w:rPr>
                <w:sz w:val="26"/>
                <w:szCs w:val="26"/>
                <w:lang w:val="uk-UA"/>
              </w:rPr>
              <w:t xml:space="preserve">14. </w:t>
            </w:r>
            <w:r w:rsidRPr="008176DC">
              <w:rPr>
                <w:strike/>
                <w:sz w:val="26"/>
                <w:szCs w:val="26"/>
                <w:lang w:val="uk-UA"/>
              </w:rPr>
              <w:t xml:space="preserve">У разі, коли орендодавцем майна є Департамент, орендна плата 100-відсотково спрямовується до міського бюджету, при цьому при формуванні міського бюджету на наступні роки департаменту фінансів, економіки та інвестицій Сумської міської ради передбачати видатки на фінансування виготовлення технічної документації та проведення незалежної </w:t>
            </w:r>
            <w:r w:rsidRPr="008176DC">
              <w:rPr>
                <w:strike/>
                <w:sz w:val="26"/>
                <w:szCs w:val="26"/>
                <w:lang w:val="uk-UA"/>
              </w:rPr>
              <w:lastRenderedPageBreak/>
              <w:t>оцінки об’єктів комунальної власності у розмірі не менше 20 % від коштів, які надійшли на рахунок міського бюджету за оренду вказаного майна.</w:t>
            </w:r>
          </w:p>
          <w:p w:rsidR="008176DC" w:rsidRDefault="008176DC" w:rsidP="008176DC">
            <w:pPr>
              <w:pStyle w:val="a5"/>
              <w:spacing w:after="0"/>
              <w:jc w:val="both"/>
              <w:rPr>
                <w:strike/>
                <w:sz w:val="26"/>
                <w:szCs w:val="26"/>
                <w:lang w:val="uk-UA"/>
              </w:rPr>
            </w:pPr>
          </w:p>
          <w:p w:rsidR="00C43DC6" w:rsidRDefault="00C43DC6" w:rsidP="008176DC">
            <w:pPr>
              <w:pStyle w:val="a5"/>
              <w:spacing w:after="0"/>
              <w:jc w:val="both"/>
              <w:rPr>
                <w:strike/>
                <w:sz w:val="26"/>
                <w:szCs w:val="26"/>
                <w:lang w:val="uk-UA"/>
              </w:rPr>
            </w:pPr>
            <w:bookmarkStart w:id="0" w:name="_GoBack"/>
            <w:bookmarkEnd w:id="0"/>
          </w:p>
          <w:p w:rsidR="008176DC" w:rsidRDefault="008176DC" w:rsidP="008176DC">
            <w:pPr>
              <w:pStyle w:val="a5"/>
              <w:spacing w:after="0"/>
              <w:jc w:val="both"/>
              <w:rPr>
                <w:strike/>
                <w:sz w:val="26"/>
                <w:szCs w:val="26"/>
                <w:lang w:val="uk-UA"/>
              </w:rPr>
            </w:pPr>
          </w:p>
          <w:p w:rsidR="008176DC" w:rsidRPr="008176DC" w:rsidRDefault="008176DC" w:rsidP="008176DC">
            <w:pPr>
              <w:pStyle w:val="a5"/>
              <w:spacing w:after="0"/>
              <w:jc w:val="both"/>
              <w:rPr>
                <w:strike/>
                <w:sz w:val="26"/>
                <w:szCs w:val="26"/>
                <w:lang w:val="uk-UA"/>
              </w:rPr>
            </w:pPr>
          </w:p>
        </w:tc>
        <w:tc>
          <w:tcPr>
            <w:tcW w:w="7281" w:type="dxa"/>
            <w:gridSpan w:val="2"/>
            <w:tcBorders>
              <w:bottom w:val="single" w:sz="4" w:space="0" w:color="auto"/>
            </w:tcBorders>
          </w:tcPr>
          <w:p w:rsidR="008176DC" w:rsidRPr="008176DC" w:rsidRDefault="008176DC">
            <w:pPr>
              <w:rPr>
                <w:sz w:val="26"/>
                <w:szCs w:val="26"/>
                <w:lang w:val="uk-UA"/>
              </w:rPr>
            </w:pPr>
          </w:p>
        </w:tc>
      </w:tr>
      <w:tr w:rsidR="009960AA" w:rsidRPr="008176DC" w:rsidTr="00AB4CB7">
        <w:tc>
          <w:tcPr>
            <w:tcW w:w="14560" w:type="dxa"/>
            <w:gridSpan w:val="4"/>
            <w:vAlign w:val="center"/>
          </w:tcPr>
          <w:p w:rsidR="009960AA" w:rsidRDefault="009960AA" w:rsidP="00AB38C9">
            <w:pPr>
              <w:pStyle w:val="a7"/>
              <w:spacing w:after="0"/>
              <w:ind w:left="0"/>
              <w:jc w:val="center"/>
              <w:rPr>
                <w:b/>
                <w:i/>
                <w:sz w:val="26"/>
                <w:szCs w:val="26"/>
              </w:rPr>
            </w:pPr>
            <w:r w:rsidRPr="008176DC">
              <w:rPr>
                <w:b/>
                <w:i/>
                <w:sz w:val="26"/>
                <w:szCs w:val="26"/>
              </w:rPr>
              <w:t xml:space="preserve">Додаток </w:t>
            </w:r>
            <w:r w:rsidR="00AB38C9" w:rsidRPr="008176DC">
              <w:rPr>
                <w:b/>
                <w:i/>
                <w:sz w:val="26"/>
                <w:szCs w:val="26"/>
              </w:rPr>
              <w:t>1</w:t>
            </w:r>
            <w:r w:rsidRPr="008176DC">
              <w:rPr>
                <w:b/>
                <w:i/>
                <w:sz w:val="26"/>
                <w:szCs w:val="26"/>
              </w:rPr>
              <w:t xml:space="preserve"> до Методики розрахунку орендної плати за майно </w:t>
            </w:r>
            <w:r w:rsidR="00AB38C9" w:rsidRPr="008176DC">
              <w:rPr>
                <w:b/>
                <w:i/>
                <w:sz w:val="26"/>
                <w:szCs w:val="26"/>
              </w:rPr>
              <w:t>комунальної власності Сумської міської об’єднаної територіальної громади та пропорції її розподілу (зі змінами)</w:t>
            </w:r>
          </w:p>
          <w:p w:rsidR="003F3964" w:rsidRPr="008176DC" w:rsidRDefault="003F3964" w:rsidP="00AB38C9">
            <w:pPr>
              <w:pStyle w:val="a7"/>
              <w:spacing w:after="0"/>
              <w:ind w:left="0"/>
              <w:jc w:val="center"/>
              <w:rPr>
                <w:b/>
                <w:i/>
                <w:sz w:val="26"/>
                <w:szCs w:val="26"/>
              </w:rPr>
            </w:pPr>
          </w:p>
        </w:tc>
      </w:tr>
      <w:tr w:rsidR="00AB38C9" w:rsidRPr="008176DC" w:rsidTr="00AB4CB7">
        <w:tc>
          <w:tcPr>
            <w:tcW w:w="5925" w:type="dxa"/>
            <w:vAlign w:val="center"/>
          </w:tcPr>
          <w:p w:rsidR="00AB38C9" w:rsidRPr="008176DC" w:rsidRDefault="00AB38C9" w:rsidP="00AB38C9">
            <w:pPr>
              <w:pStyle w:val="a7"/>
              <w:spacing w:after="0"/>
              <w:jc w:val="center"/>
              <w:rPr>
                <w:i/>
                <w:sz w:val="26"/>
                <w:szCs w:val="26"/>
              </w:rPr>
            </w:pPr>
            <w:r w:rsidRPr="008176DC">
              <w:rPr>
                <w:i/>
                <w:sz w:val="26"/>
                <w:szCs w:val="26"/>
              </w:rPr>
              <w:t>Найменування</w:t>
            </w:r>
          </w:p>
        </w:tc>
        <w:tc>
          <w:tcPr>
            <w:tcW w:w="1354" w:type="dxa"/>
            <w:vAlign w:val="center"/>
          </w:tcPr>
          <w:p w:rsidR="00AB38C9" w:rsidRPr="008176DC" w:rsidRDefault="00AB38C9" w:rsidP="00AB38C9">
            <w:pPr>
              <w:pStyle w:val="a7"/>
              <w:spacing w:after="0"/>
              <w:ind w:left="0"/>
              <w:jc w:val="center"/>
              <w:rPr>
                <w:i/>
                <w:sz w:val="26"/>
                <w:szCs w:val="26"/>
              </w:rPr>
            </w:pPr>
            <w:r w:rsidRPr="008176DC">
              <w:rPr>
                <w:i/>
                <w:sz w:val="26"/>
                <w:szCs w:val="26"/>
              </w:rPr>
              <w:t>Орендна ставка, відсотків</w:t>
            </w:r>
          </w:p>
        </w:tc>
        <w:tc>
          <w:tcPr>
            <w:tcW w:w="5899" w:type="dxa"/>
            <w:vAlign w:val="center"/>
          </w:tcPr>
          <w:p w:rsidR="00AB38C9" w:rsidRPr="008176DC" w:rsidRDefault="00AB38C9" w:rsidP="00AB38C9">
            <w:pPr>
              <w:pStyle w:val="a7"/>
              <w:spacing w:after="0"/>
              <w:jc w:val="center"/>
              <w:rPr>
                <w:i/>
                <w:sz w:val="26"/>
                <w:szCs w:val="26"/>
              </w:rPr>
            </w:pPr>
            <w:r w:rsidRPr="008176DC">
              <w:rPr>
                <w:i/>
                <w:sz w:val="26"/>
                <w:szCs w:val="26"/>
              </w:rPr>
              <w:t>Найменування</w:t>
            </w:r>
          </w:p>
        </w:tc>
        <w:tc>
          <w:tcPr>
            <w:tcW w:w="1382" w:type="dxa"/>
            <w:vAlign w:val="center"/>
          </w:tcPr>
          <w:p w:rsidR="00AB38C9" w:rsidRPr="008176DC" w:rsidRDefault="00AB38C9" w:rsidP="00AB38C9">
            <w:pPr>
              <w:pStyle w:val="a7"/>
              <w:spacing w:after="0"/>
              <w:ind w:left="0"/>
              <w:jc w:val="center"/>
              <w:rPr>
                <w:i/>
                <w:sz w:val="26"/>
                <w:szCs w:val="26"/>
              </w:rPr>
            </w:pPr>
            <w:r w:rsidRPr="008176DC">
              <w:rPr>
                <w:i/>
                <w:sz w:val="26"/>
                <w:szCs w:val="26"/>
              </w:rPr>
              <w:t>Орендна ставка, відсотків</w:t>
            </w:r>
          </w:p>
        </w:tc>
      </w:tr>
      <w:tr w:rsidR="00AB38C9" w:rsidRPr="00C43DC6" w:rsidTr="00AB4CB7">
        <w:tc>
          <w:tcPr>
            <w:tcW w:w="5925" w:type="dxa"/>
            <w:vAlign w:val="center"/>
          </w:tcPr>
          <w:p w:rsidR="00AB38C9" w:rsidRPr="008176DC" w:rsidRDefault="00AB38C9" w:rsidP="008176DC">
            <w:pPr>
              <w:jc w:val="both"/>
              <w:rPr>
                <w:sz w:val="26"/>
                <w:szCs w:val="26"/>
                <w:lang w:val="uk-UA"/>
              </w:rPr>
            </w:pPr>
            <w:r w:rsidRPr="008176DC">
              <w:rPr>
                <w:sz w:val="26"/>
                <w:szCs w:val="26"/>
                <w:lang w:val="uk-UA"/>
              </w:rPr>
              <w:t>Цілісні майнові комплекси комунальних підприємств (їх структурних підрозділів):</w:t>
            </w:r>
          </w:p>
        </w:tc>
        <w:tc>
          <w:tcPr>
            <w:tcW w:w="1354" w:type="dxa"/>
            <w:vAlign w:val="center"/>
          </w:tcPr>
          <w:p w:rsidR="00AB38C9" w:rsidRPr="008176DC" w:rsidRDefault="00AB38C9" w:rsidP="00AB38C9">
            <w:pPr>
              <w:pStyle w:val="a7"/>
              <w:spacing w:after="0"/>
              <w:ind w:left="0"/>
              <w:jc w:val="center"/>
              <w:rPr>
                <w:i/>
                <w:sz w:val="26"/>
                <w:szCs w:val="26"/>
              </w:rPr>
            </w:pPr>
          </w:p>
        </w:tc>
        <w:tc>
          <w:tcPr>
            <w:tcW w:w="5899" w:type="dxa"/>
            <w:vAlign w:val="center"/>
          </w:tcPr>
          <w:p w:rsidR="00AB38C9" w:rsidRPr="008176DC" w:rsidRDefault="00AB38C9" w:rsidP="008176DC">
            <w:pPr>
              <w:jc w:val="both"/>
              <w:rPr>
                <w:sz w:val="26"/>
                <w:szCs w:val="26"/>
                <w:lang w:val="uk-UA"/>
              </w:rPr>
            </w:pPr>
            <w:r w:rsidRPr="008176DC">
              <w:rPr>
                <w:sz w:val="26"/>
                <w:szCs w:val="26"/>
                <w:lang w:val="uk-UA"/>
              </w:rPr>
              <w:t>Цілісні майнові комплекси комунальних підприємств (їх структурних підрозділів):</w:t>
            </w:r>
          </w:p>
        </w:tc>
        <w:tc>
          <w:tcPr>
            <w:tcW w:w="1382" w:type="dxa"/>
            <w:vAlign w:val="center"/>
          </w:tcPr>
          <w:p w:rsidR="00AB38C9" w:rsidRPr="008176DC" w:rsidRDefault="00AB38C9" w:rsidP="00AB38C9">
            <w:pPr>
              <w:pStyle w:val="a7"/>
              <w:spacing w:after="0"/>
              <w:ind w:left="0"/>
              <w:jc w:val="center"/>
              <w:rPr>
                <w:i/>
                <w:sz w:val="26"/>
                <w:szCs w:val="26"/>
              </w:rPr>
            </w:pPr>
          </w:p>
        </w:tc>
      </w:tr>
      <w:tr w:rsidR="00AB38C9" w:rsidRPr="008176DC" w:rsidTr="00AB4CB7">
        <w:tc>
          <w:tcPr>
            <w:tcW w:w="5925" w:type="dxa"/>
            <w:vAlign w:val="center"/>
          </w:tcPr>
          <w:p w:rsidR="00AB38C9" w:rsidRPr="008176DC" w:rsidRDefault="00AB38C9" w:rsidP="00AB38C9">
            <w:pPr>
              <w:pStyle w:val="a7"/>
              <w:spacing w:after="0"/>
              <w:rPr>
                <w:i/>
                <w:sz w:val="26"/>
                <w:szCs w:val="26"/>
              </w:rPr>
            </w:pPr>
            <w:r w:rsidRPr="008176DC">
              <w:rPr>
                <w:sz w:val="26"/>
                <w:szCs w:val="26"/>
              </w:rPr>
              <w:t>кінотеатри</w:t>
            </w:r>
          </w:p>
        </w:tc>
        <w:tc>
          <w:tcPr>
            <w:tcW w:w="1354" w:type="dxa"/>
            <w:vAlign w:val="center"/>
          </w:tcPr>
          <w:p w:rsidR="00AB38C9" w:rsidRPr="008176DC" w:rsidRDefault="00AB38C9" w:rsidP="00AB38C9">
            <w:pPr>
              <w:pStyle w:val="a7"/>
              <w:spacing w:after="0"/>
              <w:ind w:left="0"/>
              <w:jc w:val="center"/>
              <w:rPr>
                <w:sz w:val="26"/>
                <w:szCs w:val="26"/>
              </w:rPr>
            </w:pPr>
            <w:r w:rsidRPr="008176DC">
              <w:rPr>
                <w:sz w:val="26"/>
                <w:szCs w:val="26"/>
              </w:rPr>
              <w:t>2-4</w:t>
            </w:r>
          </w:p>
        </w:tc>
        <w:tc>
          <w:tcPr>
            <w:tcW w:w="5899" w:type="dxa"/>
            <w:vAlign w:val="center"/>
          </w:tcPr>
          <w:p w:rsidR="00AB38C9" w:rsidRPr="008176DC" w:rsidRDefault="00AB38C9" w:rsidP="00AB38C9">
            <w:pPr>
              <w:pStyle w:val="a7"/>
              <w:spacing w:after="0"/>
              <w:rPr>
                <w:i/>
                <w:sz w:val="26"/>
                <w:szCs w:val="26"/>
              </w:rPr>
            </w:pPr>
            <w:r w:rsidRPr="008176DC">
              <w:rPr>
                <w:sz w:val="26"/>
                <w:szCs w:val="26"/>
              </w:rPr>
              <w:t>кінотеатри</w:t>
            </w:r>
          </w:p>
        </w:tc>
        <w:tc>
          <w:tcPr>
            <w:tcW w:w="1382" w:type="dxa"/>
            <w:vAlign w:val="center"/>
          </w:tcPr>
          <w:p w:rsidR="00AB38C9" w:rsidRPr="008176DC" w:rsidRDefault="00AB38C9" w:rsidP="00AB38C9">
            <w:pPr>
              <w:pStyle w:val="a7"/>
              <w:spacing w:after="0"/>
              <w:ind w:left="0"/>
              <w:jc w:val="center"/>
              <w:rPr>
                <w:sz w:val="26"/>
                <w:szCs w:val="26"/>
              </w:rPr>
            </w:pPr>
            <w:r w:rsidRPr="008176DC">
              <w:rPr>
                <w:sz w:val="26"/>
                <w:szCs w:val="26"/>
              </w:rPr>
              <w:t>4</w:t>
            </w:r>
          </w:p>
        </w:tc>
      </w:tr>
      <w:tr w:rsidR="00AB38C9" w:rsidRPr="008176DC" w:rsidTr="00AB4CB7">
        <w:tc>
          <w:tcPr>
            <w:tcW w:w="14560" w:type="dxa"/>
            <w:gridSpan w:val="4"/>
            <w:vAlign w:val="center"/>
          </w:tcPr>
          <w:p w:rsidR="00AB38C9" w:rsidRDefault="00AB38C9" w:rsidP="00AB38C9">
            <w:pPr>
              <w:pStyle w:val="a7"/>
              <w:spacing w:after="0"/>
              <w:ind w:left="0"/>
              <w:jc w:val="center"/>
              <w:rPr>
                <w:b/>
                <w:i/>
                <w:sz w:val="26"/>
                <w:szCs w:val="26"/>
              </w:rPr>
            </w:pPr>
            <w:r w:rsidRPr="008176DC">
              <w:rPr>
                <w:b/>
                <w:i/>
                <w:sz w:val="26"/>
                <w:szCs w:val="26"/>
              </w:rPr>
              <w:t>Додаток 2 до Методики розрахунку орендної плати за майно комунальної власності Сумської міської об’єднаної територіальної громади та пропорції її розподілу (зі змінами)</w:t>
            </w:r>
          </w:p>
          <w:p w:rsidR="003F3964" w:rsidRPr="008176DC" w:rsidRDefault="003F3964" w:rsidP="00AB38C9">
            <w:pPr>
              <w:pStyle w:val="a7"/>
              <w:spacing w:after="0"/>
              <w:ind w:left="0"/>
              <w:jc w:val="center"/>
              <w:rPr>
                <w:i/>
                <w:sz w:val="26"/>
                <w:szCs w:val="26"/>
              </w:rPr>
            </w:pPr>
          </w:p>
        </w:tc>
      </w:tr>
      <w:tr w:rsidR="00AB38C9" w:rsidRPr="008176DC" w:rsidTr="00AB4CB7">
        <w:tc>
          <w:tcPr>
            <w:tcW w:w="5925" w:type="dxa"/>
            <w:vAlign w:val="center"/>
          </w:tcPr>
          <w:p w:rsidR="00AB38C9" w:rsidRPr="008176DC" w:rsidRDefault="00AB38C9" w:rsidP="00AB38C9">
            <w:pPr>
              <w:pStyle w:val="a7"/>
              <w:spacing w:after="0"/>
              <w:jc w:val="center"/>
              <w:rPr>
                <w:i/>
                <w:sz w:val="26"/>
                <w:szCs w:val="26"/>
              </w:rPr>
            </w:pPr>
            <w:r w:rsidRPr="008176DC">
              <w:rPr>
                <w:i/>
                <w:sz w:val="26"/>
                <w:szCs w:val="26"/>
              </w:rPr>
              <w:t>Використання орендарем нерухомого майна</w:t>
            </w:r>
          </w:p>
          <w:p w:rsidR="00AB38C9" w:rsidRPr="008176DC" w:rsidRDefault="00AB38C9" w:rsidP="00AB38C9">
            <w:pPr>
              <w:pStyle w:val="a7"/>
              <w:spacing w:after="0"/>
              <w:jc w:val="center"/>
              <w:rPr>
                <w:i/>
                <w:sz w:val="26"/>
                <w:szCs w:val="26"/>
              </w:rPr>
            </w:pPr>
            <w:r w:rsidRPr="008176DC">
              <w:rPr>
                <w:i/>
                <w:sz w:val="26"/>
                <w:szCs w:val="26"/>
              </w:rPr>
              <w:t>за цільовим призначенням</w:t>
            </w:r>
          </w:p>
        </w:tc>
        <w:tc>
          <w:tcPr>
            <w:tcW w:w="1354" w:type="dxa"/>
            <w:vAlign w:val="center"/>
          </w:tcPr>
          <w:p w:rsidR="00AB38C9" w:rsidRPr="008176DC" w:rsidRDefault="00AB38C9" w:rsidP="00AB38C9">
            <w:pPr>
              <w:pStyle w:val="a7"/>
              <w:spacing w:after="0"/>
              <w:ind w:left="0"/>
              <w:jc w:val="center"/>
              <w:rPr>
                <w:i/>
                <w:sz w:val="26"/>
                <w:szCs w:val="26"/>
              </w:rPr>
            </w:pPr>
            <w:r w:rsidRPr="008176DC">
              <w:rPr>
                <w:i/>
                <w:sz w:val="26"/>
                <w:szCs w:val="26"/>
              </w:rPr>
              <w:t>Орендна ставка, відсотків</w:t>
            </w:r>
          </w:p>
        </w:tc>
        <w:tc>
          <w:tcPr>
            <w:tcW w:w="5899" w:type="dxa"/>
            <w:vAlign w:val="center"/>
          </w:tcPr>
          <w:p w:rsidR="00AB38C9" w:rsidRPr="008176DC" w:rsidRDefault="00AB38C9" w:rsidP="00AB38C9">
            <w:pPr>
              <w:pStyle w:val="a7"/>
              <w:spacing w:after="0"/>
              <w:jc w:val="center"/>
              <w:rPr>
                <w:i/>
                <w:sz w:val="26"/>
                <w:szCs w:val="26"/>
              </w:rPr>
            </w:pPr>
            <w:r w:rsidRPr="008176DC">
              <w:rPr>
                <w:i/>
                <w:sz w:val="26"/>
                <w:szCs w:val="26"/>
              </w:rPr>
              <w:t>Використання орендарем нерухомого майна</w:t>
            </w:r>
          </w:p>
          <w:p w:rsidR="00AB38C9" w:rsidRPr="008176DC" w:rsidRDefault="00AB38C9" w:rsidP="00AB38C9">
            <w:pPr>
              <w:pStyle w:val="a7"/>
              <w:spacing w:after="0"/>
              <w:jc w:val="center"/>
              <w:rPr>
                <w:i/>
                <w:sz w:val="26"/>
                <w:szCs w:val="26"/>
              </w:rPr>
            </w:pPr>
            <w:r w:rsidRPr="008176DC">
              <w:rPr>
                <w:i/>
                <w:sz w:val="26"/>
                <w:szCs w:val="26"/>
              </w:rPr>
              <w:t>за цільовим призначенням</w:t>
            </w:r>
          </w:p>
        </w:tc>
        <w:tc>
          <w:tcPr>
            <w:tcW w:w="1382" w:type="dxa"/>
            <w:vAlign w:val="center"/>
          </w:tcPr>
          <w:p w:rsidR="00AB38C9" w:rsidRPr="008176DC" w:rsidRDefault="00AB38C9" w:rsidP="00AB38C9">
            <w:pPr>
              <w:pStyle w:val="a7"/>
              <w:spacing w:after="0"/>
              <w:ind w:left="0"/>
              <w:jc w:val="center"/>
              <w:rPr>
                <w:i/>
                <w:sz w:val="26"/>
                <w:szCs w:val="26"/>
              </w:rPr>
            </w:pPr>
            <w:r w:rsidRPr="008176DC">
              <w:rPr>
                <w:i/>
                <w:sz w:val="26"/>
                <w:szCs w:val="26"/>
              </w:rPr>
              <w:t>Орендна ставка, відсотків</w:t>
            </w:r>
          </w:p>
        </w:tc>
      </w:tr>
      <w:tr w:rsidR="00AB38C9" w:rsidRPr="008176DC" w:rsidTr="00AB4CB7">
        <w:trPr>
          <w:trHeight w:val="589"/>
        </w:trPr>
        <w:tc>
          <w:tcPr>
            <w:tcW w:w="5925" w:type="dxa"/>
          </w:tcPr>
          <w:p w:rsidR="00AB38C9" w:rsidRPr="008176DC" w:rsidRDefault="00AC4051" w:rsidP="008176DC">
            <w:pPr>
              <w:jc w:val="both"/>
              <w:rPr>
                <w:strike/>
                <w:sz w:val="26"/>
                <w:szCs w:val="26"/>
                <w:lang w:val="uk-UA"/>
              </w:rPr>
            </w:pPr>
            <w:proofErr w:type="spellStart"/>
            <w:r w:rsidRPr="008176DC">
              <w:rPr>
                <w:strike/>
                <w:sz w:val="26"/>
                <w:szCs w:val="26"/>
              </w:rPr>
              <w:t>Розміщення</w:t>
            </w:r>
            <w:proofErr w:type="spellEnd"/>
            <w:r w:rsidRPr="008176DC">
              <w:rPr>
                <w:strike/>
                <w:sz w:val="26"/>
                <w:szCs w:val="26"/>
              </w:rPr>
              <w:t xml:space="preserve"> </w:t>
            </w:r>
            <w:proofErr w:type="spellStart"/>
            <w:r w:rsidRPr="008176DC">
              <w:rPr>
                <w:strike/>
                <w:sz w:val="26"/>
                <w:szCs w:val="26"/>
              </w:rPr>
              <w:t>офісних</w:t>
            </w:r>
            <w:proofErr w:type="spellEnd"/>
            <w:r w:rsidRPr="008176DC">
              <w:rPr>
                <w:strike/>
                <w:sz w:val="26"/>
                <w:szCs w:val="26"/>
              </w:rPr>
              <w:t xml:space="preserve"> </w:t>
            </w:r>
            <w:proofErr w:type="spellStart"/>
            <w:r w:rsidRPr="008176DC">
              <w:rPr>
                <w:strike/>
                <w:sz w:val="26"/>
                <w:szCs w:val="26"/>
              </w:rPr>
              <w:t>приміщень</w:t>
            </w:r>
            <w:proofErr w:type="spellEnd"/>
            <w:r w:rsidRPr="008176DC">
              <w:rPr>
                <w:strike/>
                <w:sz w:val="26"/>
                <w:szCs w:val="26"/>
              </w:rPr>
              <w:t xml:space="preserve"> для </w:t>
            </w:r>
            <w:proofErr w:type="spellStart"/>
            <w:r w:rsidRPr="008176DC">
              <w:rPr>
                <w:strike/>
                <w:sz w:val="26"/>
                <w:szCs w:val="26"/>
              </w:rPr>
              <w:t>політичних</w:t>
            </w:r>
            <w:proofErr w:type="spellEnd"/>
            <w:r w:rsidRPr="008176DC">
              <w:rPr>
                <w:strike/>
                <w:sz w:val="26"/>
                <w:szCs w:val="26"/>
              </w:rPr>
              <w:t xml:space="preserve"> </w:t>
            </w:r>
            <w:proofErr w:type="spellStart"/>
            <w:r w:rsidRPr="008176DC">
              <w:rPr>
                <w:strike/>
                <w:sz w:val="26"/>
                <w:szCs w:val="26"/>
              </w:rPr>
              <w:t>партій</w:t>
            </w:r>
            <w:proofErr w:type="spellEnd"/>
            <w:r w:rsidRPr="008176DC">
              <w:rPr>
                <w:strike/>
                <w:sz w:val="26"/>
                <w:szCs w:val="26"/>
              </w:rPr>
              <w:t xml:space="preserve"> та </w:t>
            </w:r>
            <w:proofErr w:type="spellStart"/>
            <w:r w:rsidRPr="008176DC">
              <w:rPr>
                <w:strike/>
                <w:sz w:val="26"/>
                <w:szCs w:val="26"/>
              </w:rPr>
              <w:t>суб’єктів</w:t>
            </w:r>
            <w:proofErr w:type="spellEnd"/>
            <w:r w:rsidRPr="008176DC">
              <w:rPr>
                <w:strike/>
                <w:sz w:val="26"/>
                <w:szCs w:val="26"/>
              </w:rPr>
              <w:t xml:space="preserve"> </w:t>
            </w:r>
            <w:proofErr w:type="spellStart"/>
            <w:r w:rsidRPr="008176DC">
              <w:rPr>
                <w:strike/>
                <w:sz w:val="26"/>
                <w:szCs w:val="26"/>
              </w:rPr>
              <w:t>виборчого</w:t>
            </w:r>
            <w:proofErr w:type="spellEnd"/>
            <w:r w:rsidRPr="008176DC">
              <w:rPr>
                <w:strike/>
                <w:sz w:val="26"/>
                <w:szCs w:val="26"/>
              </w:rPr>
              <w:t xml:space="preserve"> </w:t>
            </w:r>
            <w:proofErr w:type="spellStart"/>
            <w:r w:rsidRPr="008176DC">
              <w:rPr>
                <w:strike/>
                <w:sz w:val="26"/>
                <w:szCs w:val="26"/>
              </w:rPr>
              <w:t>процесу</w:t>
            </w:r>
            <w:proofErr w:type="spellEnd"/>
            <w:r w:rsidRPr="008176DC">
              <w:rPr>
                <w:strike/>
                <w:sz w:val="26"/>
                <w:szCs w:val="26"/>
              </w:rPr>
              <w:t xml:space="preserve"> з метою </w:t>
            </w:r>
            <w:proofErr w:type="spellStart"/>
            <w:r w:rsidRPr="008176DC">
              <w:rPr>
                <w:strike/>
                <w:sz w:val="26"/>
                <w:szCs w:val="26"/>
              </w:rPr>
              <w:t>проведення</w:t>
            </w:r>
            <w:proofErr w:type="spellEnd"/>
            <w:r w:rsidRPr="008176DC">
              <w:rPr>
                <w:strike/>
                <w:sz w:val="26"/>
                <w:szCs w:val="26"/>
              </w:rPr>
              <w:t xml:space="preserve"> </w:t>
            </w:r>
            <w:proofErr w:type="spellStart"/>
            <w:r w:rsidRPr="008176DC">
              <w:rPr>
                <w:strike/>
                <w:sz w:val="26"/>
                <w:szCs w:val="26"/>
              </w:rPr>
              <w:t>публічних</w:t>
            </w:r>
            <w:proofErr w:type="spellEnd"/>
            <w:r w:rsidRPr="008176DC">
              <w:rPr>
                <w:strike/>
                <w:sz w:val="26"/>
                <w:szCs w:val="26"/>
              </w:rPr>
              <w:t xml:space="preserve"> </w:t>
            </w:r>
            <w:proofErr w:type="spellStart"/>
            <w:r w:rsidRPr="008176DC">
              <w:rPr>
                <w:strike/>
                <w:sz w:val="26"/>
                <w:szCs w:val="26"/>
              </w:rPr>
              <w:t>заходів</w:t>
            </w:r>
            <w:proofErr w:type="spellEnd"/>
            <w:r w:rsidRPr="008176DC">
              <w:rPr>
                <w:strike/>
                <w:sz w:val="26"/>
                <w:szCs w:val="26"/>
              </w:rPr>
              <w:t xml:space="preserve"> (</w:t>
            </w:r>
            <w:proofErr w:type="spellStart"/>
            <w:r w:rsidRPr="008176DC">
              <w:rPr>
                <w:strike/>
                <w:sz w:val="26"/>
                <w:szCs w:val="26"/>
              </w:rPr>
              <w:t>зборів</w:t>
            </w:r>
            <w:proofErr w:type="spellEnd"/>
            <w:r w:rsidRPr="008176DC">
              <w:rPr>
                <w:strike/>
                <w:sz w:val="26"/>
                <w:szCs w:val="26"/>
              </w:rPr>
              <w:t xml:space="preserve">, </w:t>
            </w:r>
            <w:proofErr w:type="spellStart"/>
            <w:r w:rsidRPr="008176DC">
              <w:rPr>
                <w:strike/>
                <w:sz w:val="26"/>
                <w:szCs w:val="26"/>
              </w:rPr>
              <w:t>дебатів</w:t>
            </w:r>
            <w:proofErr w:type="spellEnd"/>
            <w:r w:rsidRPr="008176DC">
              <w:rPr>
                <w:strike/>
                <w:sz w:val="26"/>
                <w:szCs w:val="26"/>
              </w:rPr>
              <w:t xml:space="preserve">, </w:t>
            </w:r>
            <w:proofErr w:type="spellStart"/>
            <w:r w:rsidRPr="008176DC">
              <w:rPr>
                <w:strike/>
                <w:sz w:val="26"/>
                <w:szCs w:val="26"/>
              </w:rPr>
              <w:t>дискусій</w:t>
            </w:r>
            <w:proofErr w:type="spellEnd"/>
            <w:r w:rsidRPr="008176DC">
              <w:rPr>
                <w:strike/>
                <w:sz w:val="26"/>
                <w:szCs w:val="26"/>
              </w:rPr>
              <w:t xml:space="preserve">) </w:t>
            </w:r>
            <w:proofErr w:type="spellStart"/>
            <w:r w:rsidRPr="008176DC">
              <w:rPr>
                <w:strike/>
                <w:sz w:val="26"/>
                <w:szCs w:val="26"/>
              </w:rPr>
              <w:t>під</w:t>
            </w:r>
            <w:proofErr w:type="spellEnd"/>
            <w:r w:rsidRPr="008176DC">
              <w:rPr>
                <w:strike/>
                <w:sz w:val="26"/>
                <w:szCs w:val="26"/>
              </w:rPr>
              <w:t xml:space="preserve"> час та на </w:t>
            </w:r>
            <w:proofErr w:type="spellStart"/>
            <w:r w:rsidRPr="008176DC">
              <w:rPr>
                <w:strike/>
                <w:sz w:val="26"/>
                <w:szCs w:val="26"/>
              </w:rPr>
              <w:t>період</w:t>
            </w:r>
            <w:proofErr w:type="spellEnd"/>
            <w:r w:rsidRPr="008176DC">
              <w:rPr>
                <w:strike/>
                <w:sz w:val="26"/>
                <w:szCs w:val="26"/>
              </w:rPr>
              <w:t xml:space="preserve"> </w:t>
            </w:r>
            <w:proofErr w:type="spellStart"/>
            <w:r w:rsidRPr="008176DC">
              <w:rPr>
                <w:strike/>
                <w:sz w:val="26"/>
                <w:szCs w:val="26"/>
              </w:rPr>
              <w:t>виборчої</w:t>
            </w:r>
            <w:proofErr w:type="spellEnd"/>
            <w:r w:rsidRPr="008176DC">
              <w:rPr>
                <w:strike/>
                <w:sz w:val="26"/>
                <w:szCs w:val="26"/>
              </w:rPr>
              <w:t xml:space="preserve"> </w:t>
            </w:r>
            <w:proofErr w:type="spellStart"/>
            <w:r w:rsidRPr="008176DC">
              <w:rPr>
                <w:strike/>
                <w:sz w:val="26"/>
                <w:szCs w:val="26"/>
              </w:rPr>
              <w:t>кампанії</w:t>
            </w:r>
            <w:proofErr w:type="spellEnd"/>
          </w:p>
        </w:tc>
        <w:tc>
          <w:tcPr>
            <w:tcW w:w="1354" w:type="dxa"/>
          </w:tcPr>
          <w:p w:rsidR="00AB38C9" w:rsidRPr="008176DC" w:rsidRDefault="00AC4051" w:rsidP="008B4AAF">
            <w:pPr>
              <w:jc w:val="center"/>
              <w:rPr>
                <w:sz w:val="26"/>
                <w:szCs w:val="26"/>
                <w:lang w:val="uk-UA"/>
              </w:rPr>
            </w:pPr>
            <w:r w:rsidRPr="008176DC">
              <w:rPr>
                <w:sz w:val="26"/>
                <w:szCs w:val="26"/>
                <w:lang w:val="uk-UA"/>
              </w:rPr>
              <w:t>15</w:t>
            </w:r>
          </w:p>
        </w:tc>
        <w:tc>
          <w:tcPr>
            <w:tcW w:w="5899" w:type="dxa"/>
          </w:tcPr>
          <w:p w:rsidR="00AB38C9" w:rsidRPr="008176DC" w:rsidRDefault="00AB38C9" w:rsidP="00AB38C9">
            <w:pPr>
              <w:rPr>
                <w:sz w:val="26"/>
                <w:szCs w:val="26"/>
                <w:lang w:val="uk-UA"/>
              </w:rPr>
            </w:pPr>
          </w:p>
        </w:tc>
        <w:tc>
          <w:tcPr>
            <w:tcW w:w="1382" w:type="dxa"/>
          </w:tcPr>
          <w:p w:rsidR="00AB38C9" w:rsidRPr="008176DC" w:rsidRDefault="00AB38C9" w:rsidP="00AB38C9">
            <w:pPr>
              <w:rPr>
                <w:sz w:val="26"/>
                <w:szCs w:val="26"/>
                <w:lang w:val="uk-UA"/>
              </w:rPr>
            </w:pPr>
          </w:p>
        </w:tc>
      </w:tr>
      <w:tr w:rsidR="00AB38C9" w:rsidRPr="008176DC" w:rsidTr="00AB4CB7">
        <w:tc>
          <w:tcPr>
            <w:tcW w:w="5925" w:type="dxa"/>
          </w:tcPr>
          <w:p w:rsidR="00AB38C9" w:rsidRPr="008176DC" w:rsidRDefault="00AB38C9" w:rsidP="00AB38C9">
            <w:pPr>
              <w:rPr>
                <w:sz w:val="26"/>
                <w:szCs w:val="26"/>
                <w:lang w:val="uk-UA"/>
              </w:rPr>
            </w:pPr>
          </w:p>
        </w:tc>
        <w:tc>
          <w:tcPr>
            <w:tcW w:w="1354" w:type="dxa"/>
          </w:tcPr>
          <w:p w:rsidR="00AB38C9" w:rsidRPr="008176DC" w:rsidRDefault="00AB38C9" w:rsidP="00AB38C9">
            <w:pPr>
              <w:rPr>
                <w:sz w:val="26"/>
                <w:szCs w:val="26"/>
                <w:lang w:val="uk-UA"/>
              </w:rPr>
            </w:pPr>
          </w:p>
        </w:tc>
        <w:tc>
          <w:tcPr>
            <w:tcW w:w="5899" w:type="dxa"/>
          </w:tcPr>
          <w:p w:rsidR="00AB38C9" w:rsidRPr="008176DC" w:rsidRDefault="00AC4051" w:rsidP="008176DC">
            <w:pPr>
              <w:jc w:val="both"/>
              <w:rPr>
                <w:sz w:val="26"/>
                <w:szCs w:val="26"/>
                <w:lang w:val="uk-UA"/>
              </w:rPr>
            </w:pPr>
            <w:r w:rsidRPr="008176DC">
              <w:rPr>
                <w:sz w:val="26"/>
                <w:szCs w:val="26"/>
                <w:lang w:val="uk-UA"/>
              </w:rPr>
              <w:t xml:space="preserve">Розміщення орендарів для організації та проведення науково-практичних, культурних, мистецьких, громадських, суспільних та політичних заходів на строк, що не перевищує </w:t>
            </w:r>
            <w:r w:rsidRPr="008176DC">
              <w:rPr>
                <w:sz w:val="26"/>
                <w:szCs w:val="26"/>
                <w:lang w:val="uk-UA"/>
              </w:rPr>
              <w:lastRenderedPageBreak/>
              <w:t>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компанії</w:t>
            </w:r>
          </w:p>
        </w:tc>
        <w:tc>
          <w:tcPr>
            <w:tcW w:w="1382" w:type="dxa"/>
          </w:tcPr>
          <w:p w:rsidR="00AB38C9" w:rsidRPr="008176DC" w:rsidRDefault="00AC4051" w:rsidP="008B4AAF">
            <w:pPr>
              <w:jc w:val="center"/>
              <w:rPr>
                <w:sz w:val="26"/>
                <w:szCs w:val="26"/>
                <w:lang w:val="uk-UA"/>
              </w:rPr>
            </w:pPr>
            <w:r w:rsidRPr="008176DC">
              <w:rPr>
                <w:sz w:val="26"/>
                <w:szCs w:val="26"/>
                <w:lang w:val="uk-UA"/>
              </w:rPr>
              <w:lastRenderedPageBreak/>
              <w:t>15</w:t>
            </w:r>
          </w:p>
        </w:tc>
      </w:tr>
      <w:tr w:rsidR="00AB38C9" w:rsidRPr="008176DC" w:rsidTr="00AB4CB7">
        <w:tc>
          <w:tcPr>
            <w:tcW w:w="5925" w:type="dxa"/>
          </w:tcPr>
          <w:p w:rsidR="00AB38C9" w:rsidRPr="008176DC" w:rsidRDefault="006F4B46" w:rsidP="008176DC">
            <w:pPr>
              <w:jc w:val="both"/>
              <w:rPr>
                <w:sz w:val="26"/>
                <w:szCs w:val="26"/>
                <w:lang w:val="uk-UA"/>
              </w:rPr>
            </w:pPr>
            <w:r w:rsidRPr="008176DC">
              <w:rPr>
                <w:sz w:val="26"/>
                <w:szCs w:val="26"/>
                <w:lang w:val="uk-UA"/>
              </w:rPr>
              <w:t>Розміщення</w:t>
            </w:r>
            <w:r w:rsidRPr="008176DC">
              <w:rPr>
                <w:sz w:val="26"/>
                <w:szCs w:val="26"/>
              </w:rPr>
              <w:t xml:space="preserve"> </w:t>
            </w:r>
            <w:proofErr w:type="spellStart"/>
            <w:r w:rsidRPr="008176DC">
              <w:rPr>
                <w:sz w:val="26"/>
                <w:szCs w:val="26"/>
              </w:rPr>
              <w:t>приймалень</w:t>
            </w:r>
            <w:proofErr w:type="spellEnd"/>
            <w:r w:rsidRPr="008176DC">
              <w:rPr>
                <w:sz w:val="26"/>
                <w:szCs w:val="26"/>
              </w:rPr>
              <w:t xml:space="preserve"> </w:t>
            </w:r>
            <w:proofErr w:type="spellStart"/>
            <w:r w:rsidRPr="008176DC">
              <w:rPr>
                <w:sz w:val="26"/>
                <w:szCs w:val="26"/>
              </w:rPr>
              <w:t>народних</w:t>
            </w:r>
            <w:proofErr w:type="spellEnd"/>
            <w:r w:rsidRPr="008176DC">
              <w:rPr>
                <w:sz w:val="26"/>
                <w:szCs w:val="26"/>
              </w:rPr>
              <w:t xml:space="preserve"> </w:t>
            </w:r>
            <w:proofErr w:type="spellStart"/>
            <w:r w:rsidRPr="008176DC">
              <w:rPr>
                <w:sz w:val="26"/>
                <w:szCs w:val="26"/>
              </w:rPr>
              <w:t>депутатів</w:t>
            </w:r>
            <w:proofErr w:type="spellEnd"/>
            <w:r w:rsidRPr="008176DC">
              <w:rPr>
                <w:sz w:val="26"/>
                <w:szCs w:val="26"/>
              </w:rPr>
              <w:t xml:space="preserve"> </w:t>
            </w:r>
            <w:proofErr w:type="spellStart"/>
            <w:r w:rsidRPr="008176DC">
              <w:rPr>
                <w:sz w:val="26"/>
                <w:szCs w:val="26"/>
              </w:rPr>
              <w:t>України</w:t>
            </w:r>
            <w:proofErr w:type="spellEnd"/>
          </w:p>
        </w:tc>
        <w:tc>
          <w:tcPr>
            <w:tcW w:w="1354" w:type="dxa"/>
          </w:tcPr>
          <w:p w:rsidR="00AB38C9" w:rsidRPr="008176DC" w:rsidRDefault="006F4B46" w:rsidP="008B4AAF">
            <w:pPr>
              <w:jc w:val="center"/>
              <w:rPr>
                <w:sz w:val="26"/>
                <w:szCs w:val="26"/>
                <w:lang w:val="uk-UA"/>
              </w:rPr>
            </w:pPr>
            <w:r w:rsidRPr="008176DC">
              <w:rPr>
                <w:sz w:val="26"/>
                <w:szCs w:val="26"/>
                <w:lang w:val="uk-UA"/>
              </w:rPr>
              <w:t>5</w:t>
            </w:r>
          </w:p>
        </w:tc>
        <w:tc>
          <w:tcPr>
            <w:tcW w:w="5899" w:type="dxa"/>
          </w:tcPr>
          <w:p w:rsidR="00AB38C9" w:rsidRPr="008176DC" w:rsidRDefault="006F4B46" w:rsidP="008176DC">
            <w:pPr>
              <w:jc w:val="both"/>
              <w:rPr>
                <w:sz w:val="26"/>
                <w:szCs w:val="26"/>
                <w:lang w:val="uk-UA"/>
              </w:rPr>
            </w:pPr>
            <w:r w:rsidRPr="008176DC">
              <w:rPr>
                <w:sz w:val="26"/>
                <w:szCs w:val="26"/>
                <w:lang w:val="uk-UA"/>
              </w:rPr>
              <w:t xml:space="preserve">Розміщення </w:t>
            </w:r>
            <w:proofErr w:type="spellStart"/>
            <w:r w:rsidRPr="008176DC">
              <w:rPr>
                <w:b/>
                <w:sz w:val="26"/>
                <w:szCs w:val="26"/>
              </w:rPr>
              <w:t>громадської</w:t>
            </w:r>
            <w:proofErr w:type="spellEnd"/>
            <w:r w:rsidRPr="008176DC">
              <w:rPr>
                <w:b/>
                <w:sz w:val="26"/>
                <w:szCs w:val="26"/>
              </w:rPr>
              <w:t xml:space="preserve"> </w:t>
            </w:r>
            <w:proofErr w:type="spellStart"/>
            <w:r w:rsidRPr="008176DC">
              <w:rPr>
                <w:sz w:val="26"/>
                <w:szCs w:val="26"/>
              </w:rPr>
              <w:t>приймальні</w:t>
            </w:r>
            <w:proofErr w:type="spellEnd"/>
            <w:r w:rsidRPr="008176DC">
              <w:rPr>
                <w:sz w:val="26"/>
                <w:szCs w:val="26"/>
              </w:rPr>
              <w:t xml:space="preserve"> </w:t>
            </w:r>
            <w:proofErr w:type="spellStart"/>
            <w:r w:rsidRPr="008176DC">
              <w:rPr>
                <w:sz w:val="26"/>
                <w:szCs w:val="26"/>
              </w:rPr>
              <w:t>народних</w:t>
            </w:r>
            <w:proofErr w:type="spellEnd"/>
            <w:r w:rsidRPr="008176DC">
              <w:rPr>
                <w:sz w:val="26"/>
                <w:szCs w:val="26"/>
              </w:rPr>
              <w:t xml:space="preserve"> </w:t>
            </w:r>
            <w:proofErr w:type="spellStart"/>
            <w:r w:rsidRPr="008176DC">
              <w:rPr>
                <w:sz w:val="26"/>
                <w:szCs w:val="26"/>
              </w:rPr>
              <w:t>депутатів</w:t>
            </w:r>
            <w:proofErr w:type="spellEnd"/>
            <w:r w:rsidRPr="008176DC">
              <w:rPr>
                <w:sz w:val="26"/>
                <w:szCs w:val="26"/>
              </w:rPr>
              <w:t xml:space="preserve"> </w:t>
            </w:r>
            <w:proofErr w:type="spellStart"/>
            <w:r w:rsidRPr="008176DC">
              <w:rPr>
                <w:sz w:val="26"/>
                <w:szCs w:val="26"/>
              </w:rPr>
              <w:t>України</w:t>
            </w:r>
            <w:proofErr w:type="spellEnd"/>
            <w:r w:rsidRPr="008176DC">
              <w:rPr>
                <w:sz w:val="26"/>
                <w:szCs w:val="26"/>
              </w:rPr>
              <w:t xml:space="preserve"> </w:t>
            </w:r>
            <w:r w:rsidRPr="008176DC">
              <w:rPr>
                <w:b/>
                <w:sz w:val="26"/>
                <w:szCs w:val="26"/>
              </w:rPr>
              <w:t xml:space="preserve">і </w:t>
            </w:r>
            <w:proofErr w:type="spellStart"/>
            <w:r w:rsidRPr="008176DC">
              <w:rPr>
                <w:b/>
                <w:sz w:val="26"/>
                <w:szCs w:val="26"/>
              </w:rPr>
              <w:t>депутатів</w:t>
            </w:r>
            <w:proofErr w:type="spellEnd"/>
            <w:r w:rsidRPr="008176DC">
              <w:rPr>
                <w:b/>
                <w:sz w:val="26"/>
                <w:szCs w:val="26"/>
              </w:rPr>
              <w:t xml:space="preserve"> </w:t>
            </w:r>
            <w:proofErr w:type="spellStart"/>
            <w:r w:rsidRPr="008176DC">
              <w:rPr>
                <w:b/>
                <w:sz w:val="26"/>
                <w:szCs w:val="26"/>
              </w:rPr>
              <w:t>місцевих</w:t>
            </w:r>
            <w:proofErr w:type="spellEnd"/>
            <w:r w:rsidRPr="008176DC">
              <w:rPr>
                <w:b/>
                <w:sz w:val="26"/>
                <w:szCs w:val="26"/>
              </w:rPr>
              <w:t xml:space="preserve"> рад</w:t>
            </w:r>
          </w:p>
        </w:tc>
        <w:tc>
          <w:tcPr>
            <w:tcW w:w="1382" w:type="dxa"/>
          </w:tcPr>
          <w:p w:rsidR="00AB38C9" w:rsidRPr="008176DC" w:rsidRDefault="006F4B46" w:rsidP="008B4AAF">
            <w:pPr>
              <w:jc w:val="center"/>
              <w:rPr>
                <w:sz w:val="26"/>
                <w:szCs w:val="26"/>
                <w:lang w:val="uk-UA"/>
              </w:rPr>
            </w:pPr>
            <w:r w:rsidRPr="008176DC">
              <w:rPr>
                <w:sz w:val="26"/>
                <w:szCs w:val="26"/>
                <w:lang w:val="uk-UA"/>
              </w:rPr>
              <w:t>5</w:t>
            </w:r>
          </w:p>
        </w:tc>
      </w:tr>
      <w:tr w:rsidR="006F4B46" w:rsidRPr="008176DC" w:rsidTr="00AB4CB7">
        <w:tc>
          <w:tcPr>
            <w:tcW w:w="5925" w:type="dxa"/>
          </w:tcPr>
          <w:p w:rsidR="006F4B46" w:rsidRPr="008176DC" w:rsidRDefault="006F4B46" w:rsidP="008176DC">
            <w:pPr>
              <w:pStyle w:val="a7"/>
              <w:ind w:left="22"/>
              <w:jc w:val="both"/>
              <w:rPr>
                <w:sz w:val="26"/>
                <w:szCs w:val="26"/>
              </w:rPr>
            </w:pPr>
            <w:r w:rsidRPr="008176DC">
              <w:rPr>
                <w:sz w:val="26"/>
                <w:szCs w:val="26"/>
              </w:rPr>
              <w:t>Розміщення:</w:t>
            </w:r>
          </w:p>
        </w:tc>
        <w:tc>
          <w:tcPr>
            <w:tcW w:w="1354" w:type="dxa"/>
          </w:tcPr>
          <w:p w:rsidR="006F4B46" w:rsidRPr="008176DC" w:rsidRDefault="006F4B46" w:rsidP="008B4AAF">
            <w:pPr>
              <w:pStyle w:val="a7"/>
              <w:ind w:left="0"/>
              <w:jc w:val="center"/>
              <w:rPr>
                <w:b/>
                <w:sz w:val="26"/>
                <w:szCs w:val="26"/>
              </w:rPr>
            </w:pPr>
            <w:r w:rsidRPr="008176DC">
              <w:rPr>
                <w:b/>
                <w:sz w:val="26"/>
                <w:szCs w:val="26"/>
              </w:rPr>
              <w:t>5</w:t>
            </w:r>
          </w:p>
        </w:tc>
        <w:tc>
          <w:tcPr>
            <w:tcW w:w="5899" w:type="dxa"/>
          </w:tcPr>
          <w:p w:rsidR="006F4B46" w:rsidRPr="008176DC" w:rsidRDefault="006F4B46" w:rsidP="008176DC">
            <w:pPr>
              <w:pStyle w:val="a7"/>
              <w:ind w:left="0"/>
              <w:jc w:val="both"/>
              <w:rPr>
                <w:sz w:val="26"/>
                <w:szCs w:val="26"/>
              </w:rPr>
            </w:pPr>
            <w:r w:rsidRPr="008176DC">
              <w:rPr>
                <w:sz w:val="26"/>
                <w:szCs w:val="26"/>
              </w:rPr>
              <w:t>Розміщення:</w:t>
            </w:r>
          </w:p>
        </w:tc>
        <w:tc>
          <w:tcPr>
            <w:tcW w:w="1382" w:type="dxa"/>
          </w:tcPr>
          <w:p w:rsidR="006F4B46" w:rsidRPr="008176DC" w:rsidRDefault="006F4B46" w:rsidP="008B4AAF">
            <w:pPr>
              <w:pStyle w:val="a7"/>
              <w:ind w:left="36"/>
              <w:jc w:val="center"/>
              <w:rPr>
                <w:b/>
                <w:sz w:val="26"/>
                <w:szCs w:val="26"/>
              </w:rPr>
            </w:pPr>
            <w:r w:rsidRPr="008176DC">
              <w:rPr>
                <w:b/>
                <w:sz w:val="26"/>
                <w:szCs w:val="26"/>
              </w:rPr>
              <w:t>3</w:t>
            </w:r>
          </w:p>
        </w:tc>
      </w:tr>
      <w:tr w:rsidR="006F4B46" w:rsidRPr="008176DC" w:rsidTr="00AB4CB7">
        <w:tc>
          <w:tcPr>
            <w:tcW w:w="5925" w:type="dxa"/>
          </w:tcPr>
          <w:p w:rsidR="006F4B46" w:rsidRPr="008176DC" w:rsidRDefault="006F4B46" w:rsidP="008176DC">
            <w:pPr>
              <w:pStyle w:val="a7"/>
              <w:ind w:left="22"/>
              <w:jc w:val="both"/>
              <w:rPr>
                <w:sz w:val="26"/>
                <w:szCs w:val="26"/>
              </w:rPr>
            </w:pPr>
            <w:r w:rsidRPr="008176DC">
              <w:rPr>
                <w:sz w:val="26"/>
                <w:szCs w:val="26"/>
              </w:rPr>
              <w:t>державних організацій (установ, закладів), що частково фінансуються з</w:t>
            </w:r>
            <w:r w:rsidRPr="008176DC">
              <w:rPr>
                <w:sz w:val="26"/>
                <w:szCs w:val="26"/>
                <w:lang w:val="ru-RU"/>
              </w:rPr>
              <w:t xml:space="preserve"> </w:t>
            </w:r>
            <w:r w:rsidRPr="008176DC">
              <w:rPr>
                <w:sz w:val="26"/>
                <w:szCs w:val="26"/>
              </w:rPr>
              <w:t>державного та обласного бюджетів, крім вказаних у пункті 8</w:t>
            </w:r>
          </w:p>
        </w:tc>
        <w:tc>
          <w:tcPr>
            <w:tcW w:w="1354" w:type="dxa"/>
          </w:tcPr>
          <w:p w:rsidR="006F4B46" w:rsidRPr="008176DC" w:rsidRDefault="006F4B46" w:rsidP="006F4B46">
            <w:pPr>
              <w:pStyle w:val="a7"/>
              <w:ind w:right="-60"/>
              <w:rPr>
                <w:sz w:val="26"/>
                <w:szCs w:val="26"/>
              </w:rPr>
            </w:pPr>
          </w:p>
        </w:tc>
        <w:tc>
          <w:tcPr>
            <w:tcW w:w="5899" w:type="dxa"/>
          </w:tcPr>
          <w:p w:rsidR="006F4B46" w:rsidRPr="008176DC" w:rsidRDefault="006F4B46" w:rsidP="008176DC">
            <w:pPr>
              <w:pStyle w:val="a7"/>
              <w:ind w:left="0"/>
              <w:jc w:val="both"/>
              <w:rPr>
                <w:sz w:val="26"/>
                <w:szCs w:val="26"/>
              </w:rPr>
            </w:pPr>
            <w:r w:rsidRPr="008176DC">
              <w:rPr>
                <w:sz w:val="26"/>
                <w:szCs w:val="26"/>
              </w:rPr>
              <w:t>державних організацій (установ, закладів), що частково фінансуються з</w:t>
            </w:r>
            <w:r w:rsidRPr="008176DC">
              <w:rPr>
                <w:sz w:val="26"/>
                <w:szCs w:val="26"/>
                <w:lang w:val="ru-RU"/>
              </w:rPr>
              <w:t xml:space="preserve"> </w:t>
            </w:r>
            <w:r w:rsidRPr="008176DC">
              <w:rPr>
                <w:sz w:val="26"/>
                <w:szCs w:val="26"/>
              </w:rPr>
              <w:t>державного та обласного бюджетів, крім вказаних у пункті 10</w:t>
            </w:r>
          </w:p>
        </w:tc>
        <w:tc>
          <w:tcPr>
            <w:tcW w:w="1382" w:type="dxa"/>
          </w:tcPr>
          <w:p w:rsidR="006F4B46" w:rsidRPr="008176DC" w:rsidRDefault="006F4B46" w:rsidP="006F4B46">
            <w:pPr>
              <w:pStyle w:val="a7"/>
              <w:rPr>
                <w:sz w:val="26"/>
                <w:szCs w:val="26"/>
              </w:rPr>
            </w:pPr>
          </w:p>
        </w:tc>
      </w:tr>
      <w:tr w:rsidR="006F4B46" w:rsidRPr="008176DC" w:rsidTr="00AB4CB7">
        <w:tc>
          <w:tcPr>
            <w:tcW w:w="5925" w:type="dxa"/>
          </w:tcPr>
          <w:p w:rsidR="006F4B46" w:rsidRPr="008176DC" w:rsidRDefault="006F4B46" w:rsidP="008176DC">
            <w:pPr>
              <w:pStyle w:val="a7"/>
              <w:ind w:left="22"/>
              <w:jc w:val="both"/>
              <w:rPr>
                <w:sz w:val="26"/>
                <w:szCs w:val="26"/>
              </w:rPr>
            </w:pPr>
            <w:r w:rsidRPr="008176DC">
              <w:rPr>
                <w:sz w:val="26"/>
                <w:szCs w:val="26"/>
              </w:rPr>
              <w:t>державних організацій (установ, закладів), які фінансуються з державного бюджету, крім вказаних у пункті 8</w:t>
            </w:r>
          </w:p>
        </w:tc>
        <w:tc>
          <w:tcPr>
            <w:tcW w:w="1354" w:type="dxa"/>
          </w:tcPr>
          <w:p w:rsidR="006F4B46" w:rsidRPr="008176DC" w:rsidRDefault="006F4B46" w:rsidP="006F4B46">
            <w:pPr>
              <w:pStyle w:val="a7"/>
              <w:rPr>
                <w:sz w:val="26"/>
                <w:szCs w:val="26"/>
              </w:rPr>
            </w:pPr>
          </w:p>
        </w:tc>
        <w:tc>
          <w:tcPr>
            <w:tcW w:w="5899" w:type="dxa"/>
          </w:tcPr>
          <w:p w:rsidR="006F4B46" w:rsidRPr="008176DC" w:rsidRDefault="006F4B46" w:rsidP="008176DC">
            <w:pPr>
              <w:pStyle w:val="a7"/>
              <w:ind w:left="0"/>
              <w:jc w:val="both"/>
              <w:rPr>
                <w:sz w:val="26"/>
                <w:szCs w:val="26"/>
              </w:rPr>
            </w:pPr>
            <w:r w:rsidRPr="008176DC">
              <w:rPr>
                <w:sz w:val="26"/>
                <w:szCs w:val="26"/>
              </w:rPr>
              <w:t>державних організацій (установ, закладів), які фінансуються з державного бюджету, крім вказаних у пункті 10</w:t>
            </w:r>
          </w:p>
        </w:tc>
        <w:tc>
          <w:tcPr>
            <w:tcW w:w="1382" w:type="dxa"/>
          </w:tcPr>
          <w:p w:rsidR="006F4B46" w:rsidRPr="008176DC" w:rsidRDefault="006F4B46" w:rsidP="006F4B46">
            <w:pPr>
              <w:pStyle w:val="a7"/>
              <w:rPr>
                <w:sz w:val="26"/>
                <w:szCs w:val="26"/>
              </w:rPr>
            </w:pPr>
          </w:p>
        </w:tc>
      </w:tr>
      <w:tr w:rsidR="006F4B46" w:rsidRPr="008176DC" w:rsidTr="00AB4CB7">
        <w:tc>
          <w:tcPr>
            <w:tcW w:w="5925" w:type="dxa"/>
          </w:tcPr>
          <w:p w:rsidR="006F4B46" w:rsidRPr="008176DC" w:rsidRDefault="006F4B46" w:rsidP="008176DC">
            <w:pPr>
              <w:pStyle w:val="a7"/>
              <w:ind w:left="22"/>
              <w:jc w:val="both"/>
              <w:rPr>
                <w:sz w:val="26"/>
                <w:szCs w:val="26"/>
              </w:rPr>
            </w:pPr>
            <w:r w:rsidRPr="008176DC">
              <w:rPr>
                <w:sz w:val="26"/>
                <w:szCs w:val="26"/>
              </w:rPr>
              <w:t>територіальних відділень та структурних підрозділів Головного управління юстиції</w:t>
            </w:r>
          </w:p>
        </w:tc>
        <w:tc>
          <w:tcPr>
            <w:tcW w:w="1354" w:type="dxa"/>
          </w:tcPr>
          <w:p w:rsidR="006F4B46" w:rsidRPr="008176DC" w:rsidRDefault="006F4B46" w:rsidP="006F4B46">
            <w:pPr>
              <w:pStyle w:val="a7"/>
              <w:rPr>
                <w:sz w:val="26"/>
                <w:szCs w:val="26"/>
              </w:rPr>
            </w:pPr>
          </w:p>
        </w:tc>
        <w:tc>
          <w:tcPr>
            <w:tcW w:w="5899" w:type="dxa"/>
          </w:tcPr>
          <w:p w:rsidR="006F4B46" w:rsidRPr="008176DC" w:rsidRDefault="006F4B46" w:rsidP="008176DC">
            <w:pPr>
              <w:pStyle w:val="a7"/>
              <w:ind w:left="0"/>
              <w:jc w:val="both"/>
              <w:rPr>
                <w:sz w:val="26"/>
                <w:szCs w:val="26"/>
              </w:rPr>
            </w:pPr>
            <w:r w:rsidRPr="008176DC">
              <w:rPr>
                <w:sz w:val="26"/>
                <w:szCs w:val="26"/>
              </w:rPr>
              <w:t>територіальних відділень та структурних підрозділів Головного управління юстиції</w:t>
            </w:r>
          </w:p>
        </w:tc>
        <w:tc>
          <w:tcPr>
            <w:tcW w:w="1382" w:type="dxa"/>
          </w:tcPr>
          <w:p w:rsidR="006F4B46" w:rsidRPr="008176DC" w:rsidRDefault="006F4B46" w:rsidP="006F4B46">
            <w:pPr>
              <w:pStyle w:val="a7"/>
              <w:rPr>
                <w:sz w:val="26"/>
                <w:szCs w:val="26"/>
              </w:rPr>
            </w:pPr>
          </w:p>
        </w:tc>
      </w:tr>
      <w:tr w:rsidR="006F4B46" w:rsidRPr="008176DC"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6F4B46">
            <w:pPr>
              <w:jc w:val="both"/>
              <w:rPr>
                <w:b/>
                <w:sz w:val="26"/>
                <w:szCs w:val="26"/>
                <w:lang w:val="uk-UA"/>
              </w:rPr>
            </w:pPr>
            <w:r w:rsidRPr="008176DC">
              <w:rPr>
                <w:b/>
                <w:sz w:val="26"/>
                <w:szCs w:val="26"/>
                <w:lang w:val="uk-UA"/>
              </w:rPr>
              <w:t>Розміщення державних та комунальних підприємств, установ, організацій у сфері культури і мистецтв чи громадських організацій у сфері культури і мистецтв (у тому числі національних творчих спілок або їх членів під творчі майстерні)</w:t>
            </w:r>
          </w:p>
        </w:tc>
        <w:tc>
          <w:tcPr>
            <w:tcW w:w="1382" w:type="dxa"/>
          </w:tcPr>
          <w:p w:rsidR="006F4B46" w:rsidRPr="008176DC" w:rsidRDefault="006F4B46" w:rsidP="008B4AAF">
            <w:pPr>
              <w:jc w:val="center"/>
              <w:rPr>
                <w:sz w:val="26"/>
                <w:szCs w:val="26"/>
                <w:lang w:val="uk-UA"/>
              </w:rPr>
            </w:pPr>
            <w:r w:rsidRPr="008176DC">
              <w:rPr>
                <w:sz w:val="26"/>
                <w:szCs w:val="26"/>
                <w:lang w:val="uk-UA"/>
              </w:rPr>
              <w:t>3</w:t>
            </w:r>
          </w:p>
        </w:tc>
      </w:tr>
      <w:tr w:rsidR="006F4B46" w:rsidRPr="008176DC"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6F4B46">
            <w:pPr>
              <w:rPr>
                <w:b/>
                <w:sz w:val="26"/>
                <w:szCs w:val="26"/>
                <w:lang w:val="uk-UA"/>
              </w:rPr>
            </w:pPr>
            <w:r w:rsidRPr="008176DC">
              <w:rPr>
                <w:b/>
                <w:sz w:val="26"/>
                <w:szCs w:val="26"/>
                <w:lang w:val="uk-UA"/>
              </w:rPr>
              <w:t>Розміщення</w:t>
            </w:r>
            <w:r w:rsidRPr="008176DC">
              <w:rPr>
                <w:b/>
                <w:sz w:val="26"/>
                <w:szCs w:val="26"/>
              </w:rPr>
              <w:t xml:space="preserve"> </w:t>
            </w:r>
            <w:proofErr w:type="spellStart"/>
            <w:r w:rsidRPr="008176DC">
              <w:rPr>
                <w:b/>
                <w:sz w:val="26"/>
                <w:szCs w:val="26"/>
              </w:rPr>
              <w:t>приватних</w:t>
            </w:r>
            <w:proofErr w:type="spellEnd"/>
            <w:r w:rsidRPr="008176DC">
              <w:rPr>
                <w:b/>
                <w:sz w:val="26"/>
                <w:szCs w:val="26"/>
              </w:rPr>
              <w:t xml:space="preserve"> </w:t>
            </w:r>
            <w:proofErr w:type="spellStart"/>
            <w:r w:rsidRPr="008176DC">
              <w:rPr>
                <w:b/>
                <w:sz w:val="26"/>
                <w:szCs w:val="26"/>
              </w:rPr>
              <w:t>закладів</w:t>
            </w:r>
            <w:proofErr w:type="spellEnd"/>
            <w:r w:rsidRPr="008176DC">
              <w:rPr>
                <w:b/>
                <w:sz w:val="26"/>
                <w:szCs w:val="26"/>
              </w:rPr>
              <w:t xml:space="preserve"> </w:t>
            </w:r>
            <w:proofErr w:type="spellStart"/>
            <w:r w:rsidRPr="008176DC">
              <w:rPr>
                <w:b/>
                <w:sz w:val="26"/>
                <w:szCs w:val="26"/>
              </w:rPr>
              <w:t>освіти</w:t>
            </w:r>
            <w:proofErr w:type="spellEnd"/>
            <w:r w:rsidRPr="008176DC">
              <w:rPr>
                <w:b/>
                <w:sz w:val="26"/>
                <w:szCs w:val="26"/>
              </w:rPr>
              <w:t xml:space="preserve"> для </w:t>
            </w:r>
            <w:proofErr w:type="spellStart"/>
            <w:r w:rsidRPr="008176DC">
              <w:rPr>
                <w:b/>
                <w:sz w:val="26"/>
                <w:szCs w:val="26"/>
              </w:rPr>
              <w:t>провадження</w:t>
            </w:r>
            <w:proofErr w:type="spellEnd"/>
            <w:r w:rsidRPr="008176DC">
              <w:rPr>
                <w:b/>
                <w:sz w:val="26"/>
                <w:szCs w:val="26"/>
              </w:rPr>
              <w:t xml:space="preserve"> </w:t>
            </w:r>
            <w:proofErr w:type="spellStart"/>
            <w:r w:rsidRPr="008176DC">
              <w:rPr>
                <w:b/>
                <w:sz w:val="26"/>
                <w:szCs w:val="26"/>
              </w:rPr>
              <w:t>освітньої</w:t>
            </w:r>
            <w:proofErr w:type="spellEnd"/>
            <w:r w:rsidRPr="008176DC">
              <w:rPr>
                <w:b/>
                <w:sz w:val="26"/>
                <w:szCs w:val="26"/>
              </w:rPr>
              <w:t xml:space="preserve"> </w:t>
            </w:r>
            <w:proofErr w:type="spellStart"/>
            <w:r w:rsidRPr="008176DC">
              <w:rPr>
                <w:b/>
                <w:sz w:val="26"/>
                <w:szCs w:val="26"/>
              </w:rPr>
              <w:t>діяльності</w:t>
            </w:r>
            <w:proofErr w:type="spellEnd"/>
          </w:p>
        </w:tc>
        <w:tc>
          <w:tcPr>
            <w:tcW w:w="1382" w:type="dxa"/>
          </w:tcPr>
          <w:p w:rsidR="006F4B46" w:rsidRPr="008176DC" w:rsidRDefault="006F4B46" w:rsidP="008B4AAF">
            <w:pPr>
              <w:jc w:val="center"/>
              <w:rPr>
                <w:sz w:val="26"/>
                <w:szCs w:val="26"/>
                <w:lang w:val="uk-UA"/>
              </w:rPr>
            </w:pPr>
            <w:r w:rsidRPr="008176DC">
              <w:rPr>
                <w:sz w:val="26"/>
                <w:szCs w:val="26"/>
                <w:lang w:val="uk-UA"/>
              </w:rPr>
              <w:t>2</w:t>
            </w:r>
          </w:p>
        </w:tc>
      </w:tr>
      <w:tr w:rsidR="006F4B46" w:rsidRPr="008176DC"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8176DC">
            <w:pPr>
              <w:pStyle w:val="a7"/>
              <w:ind w:left="0"/>
              <w:jc w:val="both"/>
              <w:rPr>
                <w:b/>
                <w:sz w:val="26"/>
                <w:szCs w:val="26"/>
              </w:rPr>
            </w:pPr>
            <w:r w:rsidRPr="008176DC">
              <w:rPr>
                <w:b/>
                <w:sz w:val="26"/>
                <w:szCs w:val="26"/>
              </w:rPr>
              <w:t>Розміщення громадських організацій ветеранів для розміщення реабілітаційних установ для ветеранів</w:t>
            </w:r>
          </w:p>
        </w:tc>
        <w:tc>
          <w:tcPr>
            <w:tcW w:w="1382" w:type="dxa"/>
          </w:tcPr>
          <w:p w:rsidR="006F4B46" w:rsidRPr="008176DC" w:rsidRDefault="006F4B46" w:rsidP="008B4AAF">
            <w:pPr>
              <w:pStyle w:val="a7"/>
              <w:ind w:left="0"/>
              <w:jc w:val="center"/>
              <w:rPr>
                <w:sz w:val="26"/>
                <w:szCs w:val="26"/>
              </w:rPr>
            </w:pPr>
          </w:p>
        </w:tc>
      </w:tr>
      <w:tr w:rsidR="006F4B46" w:rsidRPr="008176DC"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8176DC">
            <w:pPr>
              <w:pStyle w:val="a7"/>
              <w:ind w:left="0"/>
              <w:jc w:val="both"/>
              <w:rPr>
                <w:b/>
                <w:sz w:val="26"/>
                <w:szCs w:val="26"/>
              </w:rPr>
            </w:pPr>
            <w:r w:rsidRPr="008176DC">
              <w:rPr>
                <w:b/>
                <w:sz w:val="26"/>
                <w:szCs w:val="26"/>
              </w:rPr>
              <w:t xml:space="preserve"> за площу (до/включно) 100 </w:t>
            </w:r>
            <w:proofErr w:type="spellStart"/>
            <w:r w:rsidRPr="008176DC">
              <w:rPr>
                <w:b/>
                <w:sz w:val="26"/>
                <w:szCs w:val="26"/>
              </w:rPr>
              <w:t>кв.м</w:t>
            </w:r>
            <w:proofErr w:type="spellEnd"/>
          </w:p>
        </w:tc>
        <w:tc>
          <w:tcPr>
            <w:tcW w:w="1382" w:type="dxa"/>
          </w:tcPr>
          <w:p w:rsidR="006F4B46" w:rsidRPr="008176DC" w:rsidRDefault="006F4B46" w:rsidP="008B4AAF">
            <w:pPr>
              <w:pStyle w:val="a7"/>
              <w:ind w:left="0"/>
              <w:jc w:val="center"/>
              <w:rPr>
                <w:b/>
                <w:sz w:val="26"/>
                <w:szCs w:val="26"/>
              </w:rPr>
            </w:pPr>
            <w:r w:rsidRPr="008176DC">
              <w:rPr>
                <w:b/>
                <w:sz w:val="26"/>
                <w:szCs w:val="26"/>
              </w:rPr>
              <w:t>1</w:t>
            </w:r>
          </w:p>
        </w:tc>
      </w:tr>
      <w:tr w:rsidR="006F4B46" w:rsidRPr="008176DC"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8176DC">
            <w:pPr>
              <w:pStyle w:val="a7"/>
              <w:ind w:left="0"/>
              <w:jc w:val="both"/>
              <w:rPr>
                <w:b/>
                <w:sz w:val="26"/>
                <w:szCs w:val="26"/>
              </w:rPr>
            </w:pPr>
            <w:r w:rsidRPr="008176DC">
              <w:rPr>
                <w:b/>
                <w:sz w:val="26"/>
                <w:szCs w:val="26"/>
              </w:rPr>
              <w:t xml:space="preserve"> якщо площа більша 100 </w:t>
            </w:r>
            <w:proofErr w:type="spellStart"/>
            <w:r w:rsidRPr="008176DC">
              <w:rPr>
                <w:b/>
                <w:sz w:val="26"/>
                <w:szCs w:val="26"/>
              </w:rPr>
              <w:t>кв.м</w:t>
            </w:r>
            <w:proofErr w:type="spellEnd"/>
            <w:r w:rsidRPr="008176DC">
              <w:rPr>
                <w:b/>
                <w:sz w:val="26"/>
                <w:szCs w:val="26"/>
              </w:rPr>
              <w:t>, то за решту</w:t>
            </w:r>
          </w:p>
        </w:tc>
        <w:tc>
          <w:tcPr>
            <w:tcW w:w="1382" w:type="dxa"/>
          </w:tcPr>
          <w:p w:rsidR="006F4B46" w:rsidRPr="008176DC" w:rsidRDefault="006F4B46" w:rsidP="008B4AAF">
            <w:pPr>
              <w:pStyle w:val="a7"/>
              <w:ind w:left="0"/>
              <w:jc w:val="center"/>
              <w:rPr>
                <w:b/>
                <w:sz w:val="26"/>
                <w:szCs w:val="26"/>
              </w:rPr>
            </w:pPr>
            <w:r w:rsidRPr="008176DC">
              <w:rPr>
                <w:b/>
                <w:sz w:val="26"/>
                <w:szCs w:val="26"/>
              </w:rPr>
              <w:t>7</w:t>
            </w:r>
          </w:p>
        </w:tc>
      </w:tr>
      <w:tr w:rsidR="006F4B46" w:rsidRPr="00C43DC6"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8176DC">
            <w:pPr>
              <w:pStyle w:val="a7"/>
              <w:ind w:left="0"/>
              <w:jc w:val="both"/>
              <w:rPr>
                <w:b/>
                <w:sz w:val="26"/>
                <w:szCs w:val="26"/>
              </w:rPr>
            </w:pPr>
            <w:r w:rsidRPr="008176DC">
              <w:rPr>
                <w:b/>
                <w:sz w:val="26"/>
                <w:szCs w:val="26"/>
              </w:rPr>
              <w:t>Розміщення реабілітаційних установ для осіб з інвалідністю та дітей з інвалідністю для розміщення таких реабілітаційних установ:</w:t>
            </w:r>
          </w:p>
        </w:tc>
        <w:tc>
          <w:tcPr>
            <w:tcW w:w="1382" w:type="dxa"/>
          </w:tcPr>
          <w:p w:rsidR="006F4B46" w:rsidRPr="008176DC" w:rsidRDefault="006F4B46" w:rsidP="008B4AAF">
            <w:pPr>
              <w:pStyle w:val="a7"/>
              <w:ind w:left="0"/>
              <w:jc w:val="center"/>
              <w:rPr>
                <w:b/>
                <w:sz w:val="26"/>
                <w:szCs w:val="26"/>
              </w:rPr>
            </w:pPr>
          </w:p>
        </w:tc>
      </w:tr>
      <w:tr w:rsidR="006F4B46" w:rsidRPr="008176DC"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8176DC">
            <w:pPr>
              <w:pStyle w:val="a7"/>
              <w:ind w:left="0"/>
              <w:jc w:val="both"/>
              <w:rPr>
                <w:b/>
                <w:sz w:val="26"/>
                <w:szCs w:val="26"/>
              </w:rPr>
            </w:pPr>
            <w:r w:rsidRPr="008176DC">
              <w:rPr>
                <w:b/>
                <w:sz w:val="26"/>
                <w:szCs w:val="26"/>
              </w:rPr>
              <w:t xml:space="preserve"> за площу (до/включно) 100 </w:t>
            </w:r>
            <w:proofErr w:type="spellStart"/>
            <w:r w:rsidRPr="008176DC">
              <w:rPr>
                <w:b/>
                <w:sz w:val="26"/>
                <w:szCs w:val="26"/>
              </w:rPr>
              <w:t>кв.м</w:t>
            </w:r>
            <w:proofErr w:type="spellEnd"/>
          </w:p>
        </w:tc>
        <w:tc>
          <w:tcPr>
            <w:tcW w:w="1382" w:type="dxa"/>
          </w:tcPr>
          <w:p w:rsidR="006F4B46" w:rsidRPr="008176DC" w:rsidRDefault="006F4B46" w:rsidP="008B4AAF">
            <w:pPr>
              <w:pStyle w:val="a7"/>
              <w:ind w:left="0"/>
              <w:jc w:val="center"/>
              <w:rPr>
                <w:b/>
                <w:sz w:val="26"/>
                <w:szCs w:val="26"/>
              </w:rPr>
            </w:pPr>
            <w:r w:rsidRPr="008176DC">
              <w:rPr>
                <w:b/>
                <w:sz w:val="26"/>
                <w:szCs w:val="26"/>
              </w:rPr>
              <w:t>4</w:t>
            </w:r>
          </w:p>
        </w:tc>
      </w:tr>
      <w:tr w:rsidR="006F4B46" w:rsidRPr="008176DC" w:rsidTr="00AB4CB7">
        <w:tc>
          <w:tcPr>
            <w:tcW w:w="5925" w:type="dxa"/>
          </w:tcPr>
          <w:p w:rsidR="006F4B46" w:rsidRPr="008176DC" w:rsidRDefault="006F4B46" w:rsidP="006F4B46">
            <w:pPr>
              <w:rPr>
                <w:sz w:val="26"/>
                <w:szCs w:val="26"/>
                <w:lang w:val="uk-UA"/>
              </w:rPr>
            </w:pPr>
          </w:p>
        </w:tc>
        <w:tc>
          <w:tcPr>
            <w:tcW w:w="1354" w:type="dxa"/>
          </w:tcPr>
          <w:p w:rsidR="006F4B46" w:rsidRPr="008176DC" w:rsidRDefault="006F4B46" w:rsidP="006F4B46">
            <w:pPr>
              <w:rPr>
                <w:sz w:val="26"/>
                <w:szCs w:val="26"/>
                <w:lang w:val="uk-UA"/>
              </w:rPr>
            </w:pPr>
          </w:p>
        </w:tc>
        <w:tc>
          <w:tcPr>
            <w:tcW w:w="5899" w:type="dxa"/>
          </w:tcPr>
          <w:p w:rsidR="006F4B46" w:rsidRPr="008176DC" w:rsidRDefault="006F4B46" w:rsidP="008176DC">
            <w:pPr>
              <w:pStyle w:val="a7"/>
              <w:ind w:left="0"/>
              <w:jc w:val="both"/>
              <w:rPr>
                <w:b/>
                <w:sz w:val="26"/>
                <w:szCs w:val="26"/>
              </w:rPr>
            </w:pPr>
            <w:r w:rsidRPr="008176DC">
              <w:rPr>
                <w:b/>
                <w:sz w:val="26"/>
                <w:szCs w:val="26"/>
              </w:rPr>
              <w:t xml:space="preserve"> якщо площа більша 100 </w:t>
            </w:r>
            <w:proofErr w:type="spellStart"/>
            <w:r w:rsidRPr="008176DC">
              <w:rPr>
                <w:b/>
                <w:sz w:val="26"/>
                <w:szCs w:val="26"/>
              </w:rPr>
              <w:t>кв.м</w:t>
            </w:r>
            <w:proofErr w:type="spellEnd"/>
            <w:r w:rsidRPr="008176DC">
              <w:rPr>
                <w:b/>
                <w:sz w:val="26"/>
                <w:szCs w:val="26"/>
              </w:rPr>
              <w:t>, то за решту</w:t>
            </w:r>
          </w:p>
        </w:tc>
        <w:tc>
          <w:tcPr>
            <w:tcW w:w="1382" w:type="dxa"/>
          </w:tcPr>
          <w:p w:rsidR="006F4B46" w:rsidRPr="008176DC" w:rsidRDefault="006F4B46" w:rsidP="008B4AAF">
            <w:pPr>
              <w:pStyle w:val="a7"/>
              <w:ind w:left="-106"/>
              <w:jc w:val="center"/>
              <w:rPr>
                <w:b/>
                <w:sz w:val="26"/>
                <w:szCs w:val="26"/>
              </w:rPr>
            </w:pPr>
            <w:r w:rsidRPr="008176DC">
              <w:rPr>
                <w:b/>
                <w:sz w:val="26"/>
                <w:szCs w:val="26"/>
              </w:rPr>
              <w:t>7</w:t>
            </w:r>
          </w:p>
        </w:tc>
      </w:tr>
      <w:tr w:rsidR="006F4B46" w:rsidRPr="008176DC" w:rsidTr="00AB4CB7">
        <w:tc>
          <w:tcPr>
            <w:tcW w:w="14560" w:type="dxa"/>
            <w:gridSpan w:val="4"/>
          </w:tcPr>
          <w:p w:rsidR="006F4B46" w:rsidRPr="008176DC" w:rsidRDefault="006F4B46" w:rsidP="006F4B46">
            <w:pPr>
              <w:jc w:val="center"/>
              <w:rPr>
                <w:b/>
                <w:sz w:val="26"/>
                <w:szCs w:val="26"/>
                <w:lang w:val="uk-UA"/>
              </w:rPr>
            </w:pPr>
            <w:r w:rsidRPr="008176DC">
              <w:rPr>
                <w:b/>
                <w:i/>
                <w:sz w:val="26"/>
                <w:szCs w:val="26"/>
                <w:lang w:val="uk-UA"/>
              </w:rPr>
              <w:t>Додаток 2 до рішення Сумської міської ради</w:t>
            </w:r>
          </w:p>
        </w:tc>
      </w:tr>
      <w:tr w:rsidR="006F4B46" w:rsidRPr="008176DC" w:rsidTr="00AB4CB7">
        <w:tc>
          <w:tcPr>
            <w:tcW w:w="7279" w:type="dxa"/>
            <w:gridSpan w:val="2"/>
          </w:tcPr>
          <w:p w:rsidR="006F4B46" w:rsidRPr="008176DC" w:rsidRDefault="00003B11" w:rsidP="00003B11">
            <w:pPr>
              <w:ind w:right="-96" w:firstLine="22"/>
              <w:rPr>
                <w:sz w:val="26"/>
                <w:szCs w:val="26"/>
                <w:lang w:val="uk-UA"/>
              </w:rPr>
            </w:pPr>
            <w:r w:rsidRPr="008176DC">
              <w:rPr>
                <w:sz w:val="26"/>
                <w:szCs w:val="26"/>
                <w:lang w:val="uk-UA"/>
              </w:rPr>
              <w:t>Типовий договір оренди нерухомого комунального майна (вважати таким, що втратив чинність)</w:t>
            </w:r>
          </w:p>
        </w:tc>
        <w:tc>
          <w:tcPr>
            <w:tcW w:w="7281" w:type="dxa"/>
            <w:gridSpan w:val="2"/>
          </w:tcPr>
          <w:p w:rsidR="006F4B46" w:rsidRPr="008176DC" w:rsidRDefault="00003B11" w:rsidP="00003B11">
            <w:pPr>
              <w:pStyle w:val="Default"/>
              <w:jc w:val="both"/>
              <w:rPr>
                <w:sz w:val="26"/>
                <w:szCs w:val="26"/>
                <w:lang w:val="uk-UA"/>
              </w:rPr>
            </w:pPr>
            <w:r w:rsidRPr="008176DC">
              <w:rPr>
                <w:bCs/>
                <w:sz w:val="26"/>
                <w:szCs w:val="26"/>
                <w:lang w:val="uk-UA"/>
              </w:rPr>
              <w:t>Затверджується Примірний договір оренди нерухомого або іншого окремого індивідуально визначеного майна, що належить до комунальної власності</w:t>
            </w:r>
          </w:p>
        </w:tc>
      </w:tr>
    </w:tbl>
    <w:p w:rsidR="001930AE" w:rsidRDefault="001930AE" w:rsidP="00F30EBE">
      <w:pPr>
        <w:widowControl w:val="0"/>
        <w:tabs>
          <w:tab w:val="left" w:pos="566"/>
        </w:tabs>
        <w:autoSpaceDE w:val="0"/>
        <w:autoSpaceDN w:val="0"/>
        <w:adjustRightInd w:val="0"/>
        <w:rPr>
          <w:sz w:val="28"/>
          <w:szCs w:val="28"/>
        </w:rPr>
      </w:pPr>
    </w:p>
    <w:p w:rsidR="001930AE" w:rsidRDefault="001930AE" w:rsidP="00F30EBE">
      <w:pPr>
        <w:widowControl w:val="0"/>
        <w:tabs>
          <w:tab w:val="left" w:pos="566"/>
        </w:tabs>
        <w:autoSpaceDE w:val="0"/>
        <w:autoSpaceDN w:val="0"/>
        <w:adjustRightInd w:val="0"/>
        <w:rPr>
          <w:sz w:val="28"/>
          <w:szCs w:val="28"/>
        </w:rPr>
      </w:pPr>
    </w:p>
    <w:p w:rsidR="001930AE" w:rsidRDefault="001930AE" w:rsidP="00F30EBE">
      <w:pPr>
        <w:widowControl w:val="0"/>
        <w:tabs>
          <w:tab w:val="left" w:pos="566"/>
        </w:tabs>
        <w:autoSpaceDE w:val="0"/>
        <w:autoSpaceDN w:val="0"/>
        <w:adjustRightInd w:val="0"/>
        <w:rPr>
          <w:sz w:val="28"/>
          <w:szCs w:val="28"/>
        </w:rPr>
      </w:pPr>
    </w:p>
    <w:p w:rsidR="001930AE" w:rsidRDefault="001930AE" w:rsidP="00F30EBE">
      <w:pPr>
        <w:widowControl w:val="0"/>
        <w:tabs>
          <w:tab w:val="left" w:pos="566"/>
        </w:tabs>
        <w:autoSpaceDE w:val="0"/>
        <w:autoSpaceDN w:val="0"/>
        <w:adjustRightInd w:val="0"/>
        <w:rPr>
          <w:sz w:val="28"/>
          <w:szCs w:val="28"/>
        </w:rPr>
      </w:pPr>
    </w:p>
    <w:p w:rsidR="00F30EBE" w:rsidRPr="008703DF" w:rsidRDefault="00F30EBE" w:rsidP="00F30EBE">
      <w:pPr>
        <w:widowControl w:val="0"/>
        <w:tabs>
          <w:tab w:val="left" w:pos="566"/>
        </w:tabs>
        <w:autoSpaceDE w:val="0"/>
        <w:autoSpaceDN w:val="0"/>
        <w:adjustRightInd w:val="0"/>
        <w:rPr>
          <w:sz w:val="28"/>
          <w:szCs w:val="28"/>
        </w:rPr>
      </w:pPr>
      <w:proofErr w:type="spellStart"/>
      <w:r w:rsidRPr="008703DF">
        <w:rPr>
          <w:sz w:val="28"/>
          <w:szCs w:val="28"/>
        </w:rPr>
        <w:t>Сумський</w:t>
      </w:r>
      <w:proofErr w:type="spellEnd"/>
      <w:r w:rsidRPr="008703DF">
        <w:rPr>
          <w:sz w:val="28"/>
          <w:szCs w:val="28"/>
        </w:rPr>
        <w:t xml:space="preserve"> </w:t>
      </w:r>
      <w:proofErr w:type="spellStart"/>
      <w:r w:rsidRPr="008703DF">
        <w:rPr>
          <w:sz w:val="28"/>
          <w:szCs w:val="28"/>
        </w:rPr>
        <w:t>міський</w:t>
      </w:r>
      <w:proofErr w:type="spellEnd"/>
      <w:r w:rsidRPr="008703DF">
        <w:rPr>
          <w:sz w:val="28"/>
          <w:szCs w:val="28"/>
        </w:rPr>
        <w:t xml:space="preserve"> голова </w:t>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t>О.М. Лисенко</w:t>
      </w:r>
    </w:p>
    <w:p w:rsidR="00F30EBE" w:rsidRPr="001930AE" w:rsidRDefault="00F30EBE" w:rsidP="00F30EBE">
      <w:pPr>
        <w:rPr>
          <w:sz w:val="28"/>
          <w:szCs w:val="28"/>
          <w:lang w:val="uk-UA"/>
        </w:rPr>
      </w:pPr>
    </w:p>
    <w:p w:rsidR="001930AE" w:rsidRPr="007C38ED" w:rsidRDefault="001930AE" w:rsidP="001930AE">
      <w:pPr>
        <w:pStyle w:val="ab"/>
        <w:jc w:val="both"/>
        <w:rPr>
          <w:sz w:val="26"/>
          <w:szCs w:val="26"/>
        </w:rPr>
      </w:pPr>
      <w:proofErr w:type="spellStart"/>
      <w:r w:rsidRPr="007C38ED">
        <w:rPr>
          <w:sz w:val="26"/>
          <w:szCs w:val="26"/>
        </w:rPr>
        <w:t>Виконавець</w:t>
      </w:r>
      <w:proofErr w:type="spellEnd"/>
      <w:r w:rsidRPr="007C38ED">
        <w:rPr>
          <w:sz w:val="26"/>
          <w:szCs w:val="26"/>
        </w:rPr>
        <w:t>: Клименко Ю.М.</w:t>
      </w:r>
    </w:p>
    <w:p w:rsidR="001930AE" w:rsidRPr="007C38ED" w:rsidRDefault="001930AE" w:rsidP="001930AE">
      <w:pPr>
        <w:pStyle w:val="ab"/>
        <w:jc w:val="both"/>
        <w:rPr>
          <w:sz w:val="26"/>
          <w:szCs w:val="26"/>
        </w:rPr>
      </w:pPr>
    </w:p>
    <w:p w:rsidR="001930AE" w:rsidRPr="00F87F17" w:rsidRDefault="001930AE" w:rsidP="001930AE">
      <w:pPr>
        <w:pStyle w:val="ab"/>
        <w:jc w:val="both"/>
        <w:rPr>
          <w:sz w:val="28"/>
          <w:szCs w:val="28"/>
          <w:lang w:val="uk-UA"/>
        </w:rPr>
      </w:pPr>
      <w:r>
        <w:rPr>
          <w:sz w:val="28"/>
          <w:szCs w:val="28"/>
        </w:rPr>
        <w:t>__________________</w:t>
      </w:r>
      <w:r w:rsidRPr="00EA64B3">
        <w:rPr>
          <w:sz w:val="28"/>
          <w:szCs w:val="28"/>
          <w:lang w:val="en-US"/>
        </w:rPr>
        <w:t xml:space="preserve"> </w:t>
      </w:r>
    </w:p>
    <w:p w:rsidR="00237CDF" w:rsidRPr="00084E8F" w:rsidRDefault="00237CDF" w:rsidP="00C36428">
      <w:pPr>
        <w:rPr>
          <w:sz w:val="28"/>
          <w:szCs w:val="28"/>
          <w:lang w:val="uk-UA"/>
        </w:rPr>
      </w:pPr>
    </w:p>
    <w:sectPr w:rsidR="00237CDF" w:rsidRPr="00084E8F" w:rsidSect="00AB4CB7">
      <w:pgSz w:w="16838" w:h="11906" w:orient="landscape"/>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F"/>
    <w:rsid w:val="00003B11"/>
    <w:rsid w:val="00081550"/>
    <w:rsid w:val="00084E8F"/>
    <w:rsid w:val="001930AE"/>
    <w:rsid w:val="001A1347"/>
    <w:rsid w:val="002219C6"/>
    <w:rsid w:val="00237CDF"/>
    <w:rsid w:val="00302EBB"/>
    <w:rsid w:val="003B3BEB"/>
    <w:rsid w:val="003F2D90"/>
    <w:rsid w:val="003F3964"/>
    <w:rsid w:val="00410E73"/>
    <w:rsid w:val="0051032A"/>
    <w:rsid w:val="00517667"/>
    <w:rsid w:val="005734AF"/>
    <w:rsid w:val="005B1954"/>
    <w:rsid w:val="006F4B46"/>
    <w:rsid w:val="008176DC"/>
    <w:rsid w:val="008B4AAF"/>
    <w:rsid w:val="008F5AF6"/>
    <w:rsid w:val="009960AA"/>
    <w:rsid w:val="009B0147"/>
    <w:rsid w:val="00A33C59"/>
    <w:rsid w:val="00A839AD"/>
    <w:rsid w:val="00AB38C9"/>
    <w:rsid w:val="00AB4CB7"/>
    <w:rsid w:val="00AC4051"/>
    <w:rsid w:val="00C36428"/>
    <w:rsid w:val="00C43DC6"/>
    <w:rsid w:val="00F30EBE"/>
    <w:rsid w:val="00FB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FDB1"/>
  <w15:chartTrackingRefBased/>
  <w15:docId w15:val="{F7BABD92-2608-4E85-9DD7-8DD4B183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8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84E8F"/>
    <w:rPr>
      <w:i/>
      <w:iCs/>
    </w:rPr>
  </w:style>
  <w:style w:type="table" w:styleId="a4">
    <w:name w:val="Table Grid"/>
    <w:basedOn w:val="a1"/>
    <w:uiPriority w:val="39"/>
    <w:rsid w:val="0008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0FF7"/>
    <w:pPr>
      <w:spacing w:after="120"/>
    </w:pPr>
    <w:rPr>
      <w:rFonts w:eastAsia="Times New Roman"/>
    </w:rPr>
  </w:style>
  <w:style w:type="character" w:customStyle="1" w:styleId="a6">
    <w:name w:val="Основной текст Знак"/>
    <w:basedOn w:val="a0"/>
    <w:link w:val="a5"/>
    <w:rsid w:val="00FB0FF7"/>
    <w:rPr>
      <w:rFonts w:ascii="Times New Roman" w:eastAsia="Times New Roman" w:hAnsi="Times New Roman" w:cs="Times New Roman"/>
      <w:sz w:val="24"/>
      <w:szCs w:val="24"/>
      <w:lang w:eastAsia="ru-RU"/>
    </w:rPr>
  </w:style>
  <w:style w:type="paragraph" w:styleId="a7">
    <w:name w:val="Body Text Indent"/>
    <w:basedOn w:val="a"/>
    <w:link w:val="a8"/>
    <w:rsid w:val="005B1954"/>
    <w:pPr>
      <w:spacing w:after="120"/>
      <w:ind w:left="283"/>
    </w:pPr>
    <w:rPr>
      <w:rFonts w:eastAsia="Times New Roman"/>
      <w:lang w:val="uk-UA"/>
    </w:rPr>
  </w:style>
  <w:style w:type="character" w:customStyle="1" w:styleId="a8">
    <w:name w:val="Основной текст с отступом Знак"/>
    <w:basedOn w:val="a0"/>
    <w:link w:val="a7"/>
    <w:rsid w:val="005B19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36428"/>
    <w:rPr>
      <w:rFonts w:ascii="Segoe UI" w:hAnsi="Segoe UI" w:cs="Segoe UI"/>
      <w:sz w:val="18"/>
      <w:szCs w:val="18"/>
    </w:rPr>
  </w:style>
  <w:style w:type="character" w:customStyle="1" w:styleId="aa">
    <w:name w:val="Текст выноски Знак"/>
    <w:basedOn w:val="a0"/>
    <w:link w:val="a9"/>
    <w:uiPriority w:val="99"/>
    <w:semiHidden/>
    <w:rsid w:val="00C36428"/>
    <w:rPr>
      <w:rFonts w:ascii="Segoe UI" w:eastAsia="Calibri" w:hAnsi="Segoe UI" w:cs="Segoe UI"/>
      <w:sz w:val="18"/>
      <w:szCs w:val="1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930AE"/>
    <w:pPr>
      <w:tabs>
        <w:tab w:val="center" w:pos="4153"/>
        <w:tab w:val="right" w:pos="8306"/>
      </w:tabs>
    </w:pPr>
    <w:rPr>
      <w:rFonts w:eastAsia="Times New Roman"/>
      <w:sz w:val="20"/>
      <w:szCs w:val="20"/>
    </w:rPr>
  </w:style>
  <w:style w:type="character" w:customStyle="1" w:styleId="ac">
    <w:name w:val="Верхний колонтитул Знак"/>
    <w:basedOn w:val="a0"/>
    <w:uiPriority w:val="99"/>
    <w:semiHidden/>
    <w:rsid w:val="001930AE"/>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1930AE"/>
    <w:rPr>
      <w:rFonts w:ascii="Times New Roman" w:eastAsia="Times New Roman" w:hAnsi="Times New Roman" w:cs="Times New Roman"/>
      <w:sz w:val="20"/>
      <w:szCs w:val="20"/>
      <w:lang w:eastAsia="ru-RU"/>
    </w:rPr>
  </w:style>
  <w:style w:type="paragraph" w:customStyle="1" w:styleId="Default">
    <w:name w:val="Default"/>
    <w:rsid w:val="00003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0606-EE74-4E0B-9F5F-9DEEC54D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1950</Words>
  <Characters>11116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Сіренко Інна Вікторівна</dc:creator>
  <cp:keywords/>
  <dc:description/>
  <cp:lastModifiedBy>Сіренко Інна Вікторівна</cp:lastModifiedBy>
  <cp:revision>21</cp:revision>
  <cp:lastPrinted>2020-08-07T08:43:00Z</cp:lastPrinted>
  <dcterms:created xsi:type="dcterms:W3CDTF">2018-10-01T13:51:00Z</dcterms:created>
  <dcterms:modified xsi:type="dcterms:W3CDTF">2020-08-19T13:35:00Z</dcterms:modified>
</cp:coreProperties>
</file>