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19"/>
        <w:gridCol w:w="1023"/>
        <w:gridCol w:w="4255"/>
      </w:tblGrid>
      <w:tr w:rsidR="005C1544" w:rsidRPr="005C1544" w:rsidTr="005C1544">
        <w:trPr>
          <w:trHeight w:val="964"/>
        </w:trPr>
        <w:tc>
          <w:tcPr>
            <w:tcW w:w="3719" w:type="dxa"/>
            <w:hideMark/>
          </w:tcPr>
          <w:p w:rsidR="005C1544" w:rsidRPr="005C1544" w:rsidRDefault="005C1544" w:rsidP="005C1544">
            <w:pPr>
              <w:spacing w:after="0" w:line="276" w:lineRule="auto"/>
              <w:ind w:left="3152" w:right="7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023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inline distT="0" distB="0" distL="0" distR="0" wp14:anchorId="14CD5C01" wp14:editId="3F4782BD">
                  <wp:extent cx="434340" cy="605790"/>
                  <wp:effectExtent l="0" t="0" r="381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5C1544" w:rsidRPr="005C1544" w:rsidRDefault="005C1544" w:rsidP="005C15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5C1544" w:rsidRPr="005C1544">
              <w:trPr>
                <w:trHeight w:val="80"/>
              </w:trPr>
              <w:tc>
                <w:tcPr>
                  <w:tcW w:w="4255" w:type="dxa"/>
                  <w:hideMark/>
                </w:tcPr>
                <w:p w:rsidR="005C1544" w:rsidRPr="005C1544" w:rsidRDefault="005C1544" w:rsidP="005C154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                 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Проект оприлюднено</w:t>
                  </w:r>
                </w:p>
                <w:p w:rsidR="005C1544" w:rsidRPr="005C1544" w:rsidRDefault="005C1544" w:rsidP="003C6CB6">
                  <w:pPr>
                    <w:tabs>
                      <w:tab w:val="left" w:pos="3270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  «__» _____ 201</w:t>
                  </w:r>
                  <w:r w:rsidR="003C6C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9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р.</w:t>
                  </w:r>
                </w:p>
              </w:tc>
            </w:tr>
          </w:tbl>
          <w:p w:rsidR="005C1544" w:rsidRPr="005C1544" w:rsidRDefault="005C1544" w:rsidP="005C1544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C1544" w:rsidRPr="005C1544" w:rsidRDefault="005C1544" w:rsidP="005C154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5C1544" w:rsidRPr="005C1544" w:rsidTr="005C1544">
        <w:tc>
          <w:tcPr>
            <w:tcW w:w="5245" w:type="dxa"/>
            <w:hideMark/>
          </w:tcPr>
          <w:p w:rsidR="005C1544" w:rsidRPr="005C1544" w:rsidRDefault="005C1544" w:rsidP="000251A4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="000251A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</w:p>
        </w:tc>
      </w:tr>
    </w:tbl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C1544" w:rsidRPr="00546540" w:rsidTr="005C15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544" w:rsidRPr="005C1544" w:rsidRDefault="005C1544" w:rsidP="000251A4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</w:t>
            </w:r>
            <w:r w:rsidR="000251A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деякі питання організації перевезень та 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встановлення тарифів на транспортні послуги з перевезення пасажирів на автобусних маршрутах загального користування</w:t>
            </w:r>
            <w:r w:rsidR="000251A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в м. Суми </w:t>
            </w:r>
          </w:p>
        </w:tc>
      </w:tr>
    </w:tbl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br w:type="textWrapping" w:clear="all"/>
      </w:r>
    </w:p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5C1544" w:rsidRPr="00A74A4A" w:rsidRDefault="005C1544" w:rsidP="00A74A4A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метою </w:t>
      </w:r>
      <w:r w:rsidR="00A603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покращення якості й</w:t>
      </w:r>
      <w:r w:rsidR="00A60347"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безпеки надання послуг</w:t>
      </w:r>
      <w:r w:rsidR="00A60347" w:rsidRPr="003C6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0347"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перевезення пасажирів</w:t>
      </w:r>
      <w:r w:rsidR="00025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забезпечення неухильного виконання перевізниками умов договорів про </w:t>
      </w:r>
      <w:proofErr w:type="spellStart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автобусних</w:t>
      </w:r>
      <w:proofErr w:type="spellEnd"/>
      <w:r w:rsid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маршрутах</w:t>
      </w:r>
      <w:proofErr w:type="spellEnd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proofErr w:type="spellStart"/>
      <w:proofErr w:type="gramStart"/>
      <w:r w:rsidR="000251A4" w:rsidRPr="00025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="000251A4" w:rsidRPr="00025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</w:t>
      </w:r>
      <w:r w:rsidR="00181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0251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оговори)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 w:rsidR="003C6CB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враховуючи чисельні факти недотримання перевізниками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графіків руху, зафіксовані як поточними перевірками відділу транспорту, зв</w:t>
      </w:r>
      <w:r w:rsidR="00DB1F4B">
        <w:rPr>
          <w:rFonts w:ascii="Times New Roman" w:eastAsia="Times New Roman" w:hAnsi="Times New Roman" w:cs="Times New Roman"/>
          <w:sz w:val="28"/>
          <w:szCs w:val="20"/>
          <w:lang w:eastAsia="ru-RU"/>
        </w:rPr>
        <w:t>’</w:t>
      </w:r>
      <w:proofErr w:type="spellStart"/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язку</w:t>
      </w:r>
      <w:proofErr w:type="spellEnd"/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9B2B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телекомунікаційних послуг </w:t>
      </w:r>
      <w:r w:rsidR="00A74A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Сумської міської ради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 2017-2018 роках,</w:t>
      </w:r>
      <w:r w:rsidR="009B2B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так і створеною </w:t>
      </w:r>
      <w:r w:rsidR="009B2B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розпорядженням </w:t>
      </w:r>
      <w:r w:rsidR="009B2B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міського голови</w:t>
      </w:r>
      <w:r w:rsidR="009B2B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23.02.2018</w:t>
      </w:r>
      <w:r w:rsidR="001816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 w:rsidR="009B2B6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61-Р тимчасовою комісією, у зв</w:t>
      </w:r>
      <w:r w:rsidR="00A74A4A">
        <w:rPr>
          <w:rFonts w:ascii="Times New Roman" w:eastAsia="Times New Roman" w:hAnsi="Times New Roman" w:cs="Times New Roman"/>
          <w:sz w:val="28"/>
          <w:szCs w:val="20"/>
          <w:lang w:eastAsia="ru-RU"/>
        </w:rPr>
        <w:t>’</w:t>
      </w:r>
      <w:proofErr w:type="spellStart"/>
      <w:r w:rsidR="00A74A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язку</w:t>
      </w:r>
      <w:proofErr w:type="spellEnd"/>
      <w:r w:rsidR="00A74A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 тим,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що під час здійснення розрахунку тарифів </w:t>
      </w:r>
      <w:r w:rsidR="00A74A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 транспортні послуги 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витратна частина (пальне, заробітна плата та ін.) розраховується на зафіксовану умовами конкурсу та договорів  кількість </w:t>
      </w:r>
      <w:r w:rsidR="00A74A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транспортних засобів</w:t>
      </w:r>
      <w:r w:rsidR="00DB1F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рейсів, </w:t>
      </w:r>
      <w:r w:rsidR="00A74A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як</w:t>
      </w:r>
      <w:r w:rsidR="0018167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 суттєво перевищує </w:t>
      </w:r>
      <w:r w:rsidR="00A74A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фактичну, щ</w:t>
      </w:r>
      <w:r w:rsidR="00A603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 підтверджено результатами дослідження пасажиропотоку, здійсненого фахівцями Харківського національного автомобіл</w:t>
      </w:r>
      <w:r w:rsidR="00A74A4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ьно</w:t>
      </w:r>
      <w:r w:rsidR="00A603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-дорожнього університету,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820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206E7"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автомобільний транспорт»</w:t>
      </w:r>
      <w:r w:rsidR="00820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Міністерства транспорту та зв’язку України від 17.11.2009 № 1175 «Про затвердження Методики розрахунку тарифів на послуги пасажирськ</w:t>
      </w:r>
      <w:r w:rsidR="00820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автомобільного транспорту»,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підпунктом </w:t>
      </w:r>
      <w:r w:rsidR="00A17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«а»</w:t>
      </w:r>
      <w:r w:rsidR="00A17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підпунктом 2 пункту «б» </w:t>
      </w:r>
      <w:r w:rsidR="00A17387"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A17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частиною першою статті 52 Закону України «Про місцеве самоврядування в Україні», </w:t>
      </w: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  <w:proofErr w:type="gram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1544" w:rsidRPr="005C1544" w:rsidRDefault="005C1544" w:rsidP="005C1544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5C1544" w:rsidRPr="005C1544" w:rsidRDefault="005C1544" w:rsidP="005C154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5C1544" w:rsidRPr="005C1544" w:rsidRDefault="005C1544" w:rsidP="005C154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662D" w:rsidRDefault="0078662D" w:rsidP="000756F6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Відділу транспорту</w:t>
      </w:r>
      <w:r w:rsidR="00260E30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зв’язку та телекомунікаційних послуг</w:t>
      </w: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8206E7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Сумської міської ради (Яковенко С.В.) на основі наявної інформації (акти перевірок, звіт </w:t>
      </w:r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тимчасової комісії</w:t>
      </w:r>
      <w:r w:rsidR="008206E7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дослідження пасажиропотоку) та </w:t>
      </w:r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даних</w:t>
      </w:r>
      <w:r w:rsidR="008206E7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засобів</w:t>
      </w:r>
      <w:proofErr w:type="spellEnd"/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GPS/GPRS</w:t>
      </w:r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(якими згідно </w:t>
      </w:r>
      <w:r w:rsidR="00BB689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 підпункт</w:t>
      </w:r>
      <w:r w:rsidR="009B2B6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ом</w:t>
      </w:r>
      <w:r w:rsidR="00BB689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2.3.14 </w:t>
      </w:r>
      <w:r w:rsidR="00BB689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пункту 2.3 </w:t>
      </w:r>
      <w:r w:rsidR="0018167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</w:t>
      </w:r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оговорів мають бути </w:t>
      </w:r>
      <w:proofErr w:type="spellStart"/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обов</w:t>
      </w:r>
      <w:proofErr w:type="spellEnd"/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’</w:t>
      </w:r>
      <w:proofErr w:type="spellStart"/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язково</w:t>
      </w:r>
      <w:proofErr w:type="spellEnd"/>
      <w:r w:rsidR="003F10E1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забезпечені всі транспортні засоби перевізників), </w:t>
      </w:r>
      <w:r w:rsid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місячний термін</w:t>
      </w:r>
      <w:r w:rsidR="008206E7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підготувати звіт про дотримання </w:t>
      </w:r>
      <w:r w:rsidR="00260E30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перевізниками </w:t>
      </w: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вимог </w:t>
      </w:r>
      <w:r w:rsidR="0018167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</w:t>
      </w: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оговорів </w:t>
      </w:r>
      <w:r w:rsidR="009D0CE7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стосовн</w:t>
      </w: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 щоденної </w:t>
      </w:r>
      <w:r w:rsidR="00D67D95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чисельно</w:t>
      </w: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сті </w:t>
      </w:r>
      <w:r w:rsidR="00DB5EA9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рухомого складу</w:t>
      </w: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маршрутах</w:t>
      </w:r>
      <w:r w:rsidR="00D67D95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кількості здійснених протягом дня рейсів</w:t>
      </w:r>
      <w:r w:rsidR="00D67D95"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дотримання графіків руху </w:t>
      </w: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 кожним із маршрутів</w:t>
      </w:r>
      <w:r w:rsidR="00BB689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забезпечити у подальшому підготовку відповідних звітів при винесенні на розгляд виконавчого комітету Сумської міської ради питання про встановлення (перегляд) тарифів на транспортні послуги</w:t>
      </w:r>
      <w:r w:rsidRP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</w:p>
    <w:p w:rsidR="0018167F" w:rsidRPr="0018167F" w:rsidRDefault="0018167F" w:rsidP="0018167F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16"/>
          <w:szCs w:val="16"/>
          <w:lang w:val="uk-UA" w:eastAsia="ru-RU"/>
        </w:rPr>
      </w:pPr>
    </w:p>
    <w:p w:rsidR="0078662D" w:rsidRDefault="0078662D" w:rsidP="0040242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 разі неможливості дотримання </w:t>
      </w:r>
      <w:r w:rsid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договірних умов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певними перевізниками на окремих маршрутах </w:t>
      </w:r>
      <w:r w:rsid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розірвати </w:t>
      </w:r>
      <w:r w:rsidR="0018167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</w:t>
      </w:r>
      <w:r w:rsid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оговори із порушниками </w:t>
      </w:r>
      <w:r w:rsidR="00BB689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підстав та </w:t>
      </w:r>
      <w:r w:rsid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порядку, передбачен</w:t>
      </w:r>
      <w:r w:rsidR="00BB689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их договорами</w:t>
      </w:r>
      <w:r w:rsid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="003F10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18167F" w:rsidRPr="0018167F" w:rsidRDefault="0018167F" w:rsidP="0018167F">
      <w:pPr>
        <w:pStyle w:val="a3"/>
        <w:rPr>
          <w:rFonts w:ascii="Times New Roman" w:eastAsia="Times New Roman" w:hAnsi="Times New Roman" w:cs="Times New Roman"/>
          <w:iCs/>
          <w:sz w:val="16"/>
          <w:szCs w:val="16"/>
          <w:lang w:val="uk-UA" w:eastAsia="ru-RU"/>
        </w:rPr>
      </w:pPr>
    </w:p>
    <w:p w:rsidR="00402429" w:rsidRPr="0018167F" w:rsidRDefault="00BB6894" w:rsidP="0040242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Встановлення (п</w:t>
      </w:r>
      <w:r w:rsidR="00402429" w:rsidRP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ерегляд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</w:t>
      </w:r>
      <w:r w:rsidR="003C6CB6" w:rsidRP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тарифів на перевезення здійснювати </w:t>
      </w:r>
      <w:r w:rsidR="008541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 встановлених законодавством випадках</w:t>
      </w:r>
      <w:r w:rsidR="0096456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</w:t>
      </w:r>
      <w:r w:rsidR="008541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</w:t>
      </w:r>
      <w:r w:rsidR="00402429" w:rsidRP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ише</w:t>
      </w:r>
      <w:r w:rsidR="003C6CB6" w:rsidRP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після проведення </w:t>
      </w:r>
      <w:r w:rsidR="00DB5EA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ґ</w:t>
      </w:r>
      <w:r w:rsidR="00402429" w:rsidRP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рунтовного аналізу </w:t>
      </w:r>
      <w:r w:rsidR="00DB5EA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дотримання </w:t>
      </w:r>
      <w:r w:rsidR="008541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перевізниками вимог договорів </w:t>
      </w:r>
      <w:r w:rsidR="00402429" w:rsidRP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 </w:t>
      </w:r>
      <w:r w:rsidR="008541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</w:t>
      </w:r>
      <w:r w:rsidR="0018167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слуховування на засіданні виконавчого комітету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Сумської міської ради </w:t>
      </w:r>
      <w:r w:rsidR="008541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</w:t>
      </w:r>
      <w:r w:rsidR="0096456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аз</w:t>
      </w:r>
      <w:r w:rsidR="008541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начен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их у пункті 1 рішення</w:t>
      </w:r>
      <w:r w:rsidR="009B2B6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звітів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</w:t>
      </w:r>
      <w:r w:rsidR="008541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402429" w:rsidRP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виключно з урахуванням </w:t>
      </w:r>
      <w:r w:rsidR="008541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рівня витрат</w:t>
      </w:r>
      <w:r w:rsidR="00402429" w:rsidRP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здійснення перевезень тією кількістю транспортних засобів та рейсів, які фактично здійсн</w:t>
      </w:r>
      <w:r w:rsidR="0072104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юються</w:t>
      </w:r>
      <w:r w:rsidR="00402429" w:rsidRPr="0040242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18167F" w:rsidRPr="0018167F" w:rsidRDefault="0018167F" w:rsidP="0018167F">
      <w:pPr>
        <w:pStyle w:val="a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541A1" w:rsidRPr="00402429" w:rsidRDefault="008541A1" w:rsidP="0040242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Довести дане рішення до відома перевізників.</w:t>
      </w: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4859"/>
      </w:tblGrid>
      <w:tr w:rsidR="005C1544" w:rsidRPr="005C1544" w:rsidTr="005C1544">
        <w:tc>
          <w:tcPr>
            <w:tcW w:w="4437" w:type="dxa"/>
            <w:hideMark/>
          </w:tcPr>
          <w:p w:rsidR="005C1544" w:rsidRPr="005C1544" w:rsidRDefault="005C1544" w:rsidP="009B2B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Міський голова</w:t>
            </w:r>
            <w:r w:rsidR="009B2B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О.М. Лисенко</w:t>
            </w:r>
          </w:p>
        </w:tc>
      </w:tr>
      <w:tr w:rsidR="005C1544" w:rsidRPr="005C1544" w:rsidTr="005C1544">
        <w:tc>
          <w:tcPr>
            <w:tcW w:w="4437" w:type="dxa"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1544" w:rsidRPr="005C1544" w:rsidTr="005C1544">
        <w:tc>
          <w:tcPr>
            <w:tcW w:w="4437" w:type="dxa"/>
            <w:hideMark/>
          </w:tcPr>
          <w:p w:rsidR="005C1544" w:rsidRPr="005C1544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C1544" w:rsidRPr="005C1544" w:rsidTr="005C1544">
        <w:tc>
          <w:tcPr>
            <w:tcW w:w="4437" w:type="dxa"/>
            <w:hideMark/>
          </w:tcPr>
          <w:p w:rsidR="005C1544" w:rsidRPr="005C1544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C1544" w:rsidRPr="005C1544" w:rsidRDefault="008541A1" w:rsidP="005C154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8"/>
          <w:lang w:val="uk-UA" w:eastAsia="ru-RU"/>
        </w:rPr>
        <w:t>БО «Громадський фонд «Суми»</w:t>
      </w:r>
      <w:r w:rsidR="00DB5EA9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>Мартиненко О</w:t>
      </w:r>
      <w:r w:rsidR="005C1544"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.В., </w:t>
      </w:r>
      <w:proofErr w:type="spellStart"/>
      <w:r w:rsidR="005C1544"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тел</w:t>
      </w:r>
      <w:proofErr w:type="spellEnd"/>
      <w:r w:rsidR="005C1544"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. </w:t>
      </w:r>
      <w:r w:rsidR="00260E30">
        <w:rPr>
          <w:rFonts w:ascii="Times New Roman" w:eastAsia="Times New Roman" w:hAnsi="Times New Roman" w:cs="Times New Roman"/>
          <w:szCs w:val="28"/>
          <w:lang w:val="uk-UA" w:eastAsia="ru-RU"/>
        </w:rPr>
        <w:t>095 200 99 13</w:t>
      </w:r>
    </w:p>
    <w:p w:rsidR="005C1544" w:rsidRPr="00BB6894" w:rsidRDefault="005C1544" w:rsidP="008541A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Розіслати: Журбі О.І., Яковенку С.В</w:t>
      </w:r>
      <w:r w:rsidR="00260E30">
        <w:rPr>
          <w:rFonts w:ascii="Times New Roman" w:eastAsia="Times New Roman" w:hAnsi="Times New Roman" w:cs="Times New Roman"/>
          <w:szCs w:val="28"/>
          <w:lang w:val="uk-UA" w:eastAsia="ru-RU"/>
        </w:rPr>
        <w:t>.</w:t>
      </w:r>
      <w:r w:rsidR="008541A1">
        <w:rPr>
          <w:rFonts w:ascii="Times New Roman" w:eastAsia="Times New Roman" w:hAnsi="Times New Roman" w:cs="Times New Roman"/>
          <w:szCs w:val="28"/>
          <w:lang w:val="uk-UA" w:eastAsia="ru-RU"/>
        </w:rPr>
        <w:t>, перевізник</w:t>
      </w:r>
      <w:r w:rsidR="0018167F">
        <w:rPr>
          <w:rFonts w:ascii="Times New Roman" w:eastAsia="Times New Roman" w:hAnsi="Times New Roman" w:cs="Times New Roman"/>
          <w:szCs w:val="28"/>
          <w:lang w:val="uk-UA" w:eastAsia="ru-RU"/>
        </w:rPr>
        <w:t>ам</w:t>
      </w:r>
      <w:r w:rsidR="008541A1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- надавач</w:t>
      </w:r>
      <w:r w:rsidR="0018167F">
        <w:rPr>
          <w:rFonts w:ascii="Times New Roman" w:eastAsia="Times New Roman" w:hAnsi="Times New Roman" w:cs="Times New Roman"/>
          <w:szCs w:val="28"/>
          <w:lang w:val="uk-UA" w:eastAsia="ru-RU"/>
        </w:rPr>
        <w:t>ам</w:t>
      </w:r>
      <w:r w:rsidR="008541A1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послуг з </w:t>
      </w:r>
      <w:proofErr w:type="spellStart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>перевезення</w:t>
      </w:r>
      <w:proofErr w:type="spellEnd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>пасажирів</w:t>
      </w:r>
      <w:proofErr w:type="spellEnd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>на</w:t>
      </w:r>
      <w:proofErr w:type="spellEnd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>міських</w:t>
      </w:r>
      <w:proofErr w:type="spellEnd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>автобусних</w:t>
      </w:r>
      <w:proofErr w:type="spellEnd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>маршрутах</w:t>
      </w:r>
      <w:proofErr w:type="spellEnd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>загального</w:t>
      </w:r>
      <w:proofErr w:type="spellEnd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>користування</w:t>
      </w:r>
      <w:proofErr w:type="spellEnd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 xml:space="preserve"> в м. </w:t>
      </w:r>
      <w:proofErr w:type="spellStart"/>
      <w:r w:rsidR="008541A1" w:rsidRPr="008541A1">
        <w:rPr>
          <w:rFonts w:ascii="Times New Roman" w:eastAsia="Times New Roman" w:hAnsi="Times New Roman" w:cs="Times New Roman"/>
          <w:szCs w:val="28"/>
          <w:lang w:eastAsia="ru-RU"/>
        </w:rPr>
        <w:t>Суми</w:t>
      </w:r>
      <w:proofErr w:type="spellEnd"/>
      <w:r w:rsidR="00BB689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згідно з листом розсилки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3F" w:rsidRDefault="00A67A3F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– ПОГОДЖЕННЯ</w:t>
      </w: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</w:t>
      </w:r>
      <w:r w:rsidR="008541A1" w:rsidRPr="00854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деякі питання організації перевезень та встановлення тарифів на транспортні послуги з перевезення пасажирів на автобусних маршрутах загального користування в м. Суми</w:t>
      </w:r>
      <w:r w:rsidRPr="00854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E30" w:rsidRDefault="0018167F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директор</w:t>
      </w:r>
      <w:r w:rsidR="00260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260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81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Громадський фонд «Суми</w:t>
      </w: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                    </w:t>
      </w:r>
      <w:r w:rsidR="00181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181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Мартиненко</w:t>
      </w: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транспорту,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та телекомунікаційних послуг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                                                          С.В. Яковенко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Начальник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відділу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прото</w:t>
      </w:r>
      <w:r w:rsidR="00260E3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кольної</w:t>
      </w:r>
      <w:proofErr w:type="spellEnd"/>
      <w:r w:rsidR="00260E3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="00260E3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роботи</w:t>
      </w:r>
      <w:proofErr w:type="spellEnd"/>
      <w:r w:rsidR="00260E3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та контролю                                       </w:t>
      </w: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Л.В.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Моша</w:t>
      </w:r>
      <w:proofErr w:type="spellEnd"/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Заступник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міського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голови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з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питань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діяльності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виконавчих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органів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ради</w:t>
      </w:r>
      <w:r w:rsidR="00260E3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   </w:t>
      </w: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О.І. Журба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Начальник правового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        </w:t>
      </w: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О.В.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Чайченко</w:t>
      </w:r>
      <w:proofErr w:type="spellEnd"/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Заступник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міського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голови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,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керуючий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справами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виконавчого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комітету</w:t>
      </w:r>
      <w:proofErr w:type="spellEnd"/>
      <w:r w:rsidR="00260E30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           </w:t>
      </w: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С.Я. Пак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0C1D1C" w:rsidRPr="00546540" w:rsidTr="0010214E">
        <w:trPr>
          <w:trHeight w:val="426"/>
        </w:trPr>
        <w:tc>
          <w:tcPr>
            <w:tcW w:w="4820" w:type="dxa"/>
            <w:vAlign w:val="bottom"/>
          </w:tcPr>
          <w:p w:rsidR="000C1D1C" w:rsidRPr="000C1D1C" w:rsidRDefault="000C1D1C" w:rsidP="000C1D1C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951" w:type="dxa"/>
            <w:vAlign w:val="bottom"/>
          </w:tcPr>
          <w:p w:rsidR="000C1D1C" w:rsidRPr="000C1D1C" w:rsidRDefault="000C1D1C" w:rsidP="000C1D1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0C1D1C" w:rsidRPr="000C1D1C" w:rsidRDefault="000C1D1C" w:rsidP="000C1D1C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</w:tbl>
    <w:p w:rsidR="00721047" w:rsidRDefault="00721047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721047" w:rsidRDefault="00721047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Проект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рішення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підготовлений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з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урахуванням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вимог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Закону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України</w:t>
      </w:r>
      <w:proofErr w:type="spellEnd"/>
      <w:r w:rsidR="0072104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  </w:t>
      </w:r>
      <w:proofErr w:type="gramStart"/>
      <w:r w:rsidR="00721047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</w:t>
      </w: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«</w:t>
      </w:r>
      <w:proofErr w:type="gram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Про доступ до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публічної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інформації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» та Закону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України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"Про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захист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персональних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даних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».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18167F" w:rsidRPr="0018167F" w:rsidRDefault="0018167F" w:rsidP="0018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директор БО</w:t>
      </w:r>
    </w:p>
    <w:p w:rsidR="0018167F" w:rsidRPr="0018167F" w:rsidRDefault="0018167F" w:rsidP="0018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6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«Громадський фонд «Суми»                                                О.В. Мартиненко </w:t>
      </w:r>
    </w:p>
    <w:p w:rsidR="000C1D1C" w:rsidRPr="005C1544" w:rsidRDefault="000C1D1C" w:rsidP="0018167F">
      <w:pPr>
        <w:spacing w:after="0" w:line="240" w:lineRule="auto"/>
        <w:jc w:val="both"/>
        <w:rPr>
          <w:lang w:val="uk-UA"/>
        </w:rPr>
      </w:pPr>
    </w:p>
    <w:sectPr w:rsidR="000C1D1C" w:rsidRPr="005C1544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4ECC"/>
    <w:multiLevelType w:val="hybridMultilevel"/>
    <w:tmpl w:val="D3E0D5A8"/>
    <w:lvl w:ilvl="0" w:tplc="ECBEE75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5B480A"/>
    <w:multiLevelType w:val="hybridMultilevel"/>
    <w:tmpl w:val="FAB826FA"/>
    <w:lvl w:ilvl="0" w:tplc="BFF81ED6">
      <w:start w:val="2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641712E7"/>
    <w:multiLevelType w:val="hybridMultilevel"/>
    <w:tmpl w:val="E77C1C9E"/>
    <w:lvl w:ilvl="0" w:tplc="ECBEE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D8"/>
    <w:rsid w:val="000251A4"/>
    <w:rsid w:val="000C1D1C"/>
    <w:rsid w:val="0018167F"/>
    <w:rsid w:val="00260E30"/>
    <w:rsid w:val="003C6CB6"/>
    <w:rsid w:val="003F10E1"/>
    <w:rsid w:val="00402429"/>
    <w:rsid w:val="00546540"/>
    <w:rsid w:val="005C1544"/>
    <w:rsid w:val="00677BD8"/>
    <w:rsid w:val="00721047"/>
    <w:rsid w:val="00756042"/>
    <w:rsid w:val="0078662D"/>
    <w:rsid w:val="008206E7"/>
    <w:rsid w:val="008541A1"/>
    <w:rsid w:val="00964562"/>
    <w:rsid w:val="009B2B6E"/>
    <w:rsid w:val="009D0CE7"/>
    <w:rsid w:val="00A17387"/>
    <w:rsid w:val="00A60347"/>
    <w:rsid w:val="00A67A3F"/>
    <w:rsid w:val="00A74A4A"/>
    <w:rsid w:val="00BB6894"/>
    <w:rsid w:val="00CA37A3"/>
    <w:rsid w:val="00D67D95"/>
    <w:rsid w:val="00DB1F4B"/>
    <w:rsid w:val="00DB5EA9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F3FD"/>
  <w15:chartTrackingRefBased/>
  <w15:docId w15:val="{81F8D551-C8E4-4695-A753-1044EAF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3138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Max</cp:lastModifiedBy>
  <cp:revision>17</cp:revision>
  <cp:lastPrinted>2019-01-30T08:37:00Z</cp:lastPrinted>
  <dcterms:created xsi:type="dcterms:W3CDTF">2019-01-19T12:13:00Z</dcterms:created>
  <dcterms:modified xsi:type="dcterms:W3CDTF">2019-02-04T10:08:00Z</dcterms:modified>
</cp:coreProperties>
</file>