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E45762">
        <w:rPr>
          <w:sz w:val="28"/>
          <w:szCs w:val="28"/>
          <w:lang w:val="uk-UA"/>
        </w:rPr>
        <w:t>07 серпня  2018 № 15</w:t>
      </w:r>
      <w:bookmarkStart w:id="0" w:name="_GoBack"/>
      <w:bookmarkEnd w:id="0"/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EC2308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Pr="00655868">
        <w:rPr>
          <w:b/>
          <w:bCs/>
          <w:sz w:val="28"/>
          <w:szCs w:val="28"/>
          <w:lang w:val="uk-UA"/>
        </w:rPr>
        <w:t xml:space="preserve">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FD2931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42983">
        <w:rPr>
          <w:sz w:val="28"/>
          <w:szCs w:val="28"/>
          <w:lang w:val="uk-UA"/>
        </w:rPr>
        <w:t xml:space="preserve">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FD2931">
        <w:rPr>
          <w:sz w:val="28"/>
          <w:szCs w:val="28"/>
          <w:lang w:val="uk-UA"/>
        </w:rPr>
        <w:t>І.В. Кальченко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P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942983" w:rsidRPr="00942983" w:rsidSect="0044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08" w:rsidRDefault="00EC2308">
      <w:r>
        <w:separator/>
      </w:r>
    </w:p>
  </w:endnote>
  <w:endnote w:type="continuationSeparator" w:id="0">
    <w:p w:rsidR="00EC2308" w:rsidRDefault="00EC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08" w:rsidRDefault="00EC2308">
      <w:r>
        <w:separator/>
      </w:r>
    </w:p>
  </w:footnote>
  <w:footnote w:type="continuationSeparator" w:id="0">
    <w:p w:rsidR="00EC2308" w:rsidRDefault="00EC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74FBD4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3156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19</cp:revision>
  <cp:lastPrinted>2018-01-11T12:02:00Z</cp:lastPrinted>
  <dcterms:created xsi:type="dcterms:W3CDTF">2018-01-11T06:53:00Z</dcterms:created>
  <dcterms:modified xsi:type="dcterms:W3CDTF">2018-08-14T06:17:00Z</dcterms:modified>
</cp:coreProperties>
</file>