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533928" w:rsidRPr="00482C93" w:rsidRDefault="00533928" w:rsidP="00533928">
            <w:pPr>
              <w:jc w:val="center"/>
              <w:rPr>
                <w:lang w:val="uk-UA"/>
              </w:rPr>
            </w:pPr>
            <w:r w:rsidRPr="00482C93">
              <w:rPr>
                <w:lang w:val="uk-UA"/>
              </w:rPr>
              <w:t xml:space="preserve">Додаток </w:t>
            </w:r>
          </w:p>
          <w:p w:rsidR="00533928" w:rsidRPr="00482C93" w:rsidRDefault="00533928" w:rsidP="00533928">
            <w:pPr>
              <w:rPr>
                <w:lang w:val="uk-UA"/>
              </w:rPr>
            </w:pPr>
            <w:r w:rsidRPr="00482C93">
              <w:rPr>
                <w:lang w:val="uk-UA"/>
              </w:rPr>
              <w:t xml:space="preserve">             до рішення виконавчого комітету</w:t>
            </w:r>
          </w:p>
          <w:p w:rsidR="00D201E6" w:rsidRPr="00482C93" w:rsidRDefault="00533928" w:rsidP="004E03E4">
            <w:pPr>
              <w:jc w:val="both"/>
              <w:rPr>
                <w:lang w:val="uk-UA"/>
              </w:rPr>
            </w:pPr>
            <w:r w:rsidRPr="00482C93">
              <w:rPr>
                <w:lang w:val="uk-UA"/>
              </w:rPr>
              <w:t xml:space="preserve">             від  </w:t>
            </w:r>
            <w:r w:rsidR="004E03E4">
              <w:rPr>
                <w:lang w:val="uk-UA"/>
              </w:rPr>
              <w:t xml:space="preserve">               </w:t>
            </w:r>
            <w:r w:rsidRPr="00482C93">
              <w:rPr>
                <w:lang w:val="uk-UA"/>
              </w:rPr>
              <w:t xml:space="preserve">  № </w:t>
            </w:r>
          </w:p>
        </w:tc>
      </w:tr>
    </w:tbl>
    <w:p w:rsidR="00D201E6" w:rsidRPr="00482C93" w:rsidRDefault="00D201E6" w:rsidP="00D201E6">
      <w:pPr>
        <w:pStyle w:val="a3"/>
        <w:widowControl w:val="0"/>
        <w:rPr>
          <w:b/>
          <w:spacing w:val="-6"/>
          <w:sz w:val="24"/>
        </w:rPr>
      </w:pPr>
      <w:r w:rsidRPr="00482C93">
        <w:rPr>
          <w:b/>
          <w:spacing w:val="-6"/>
          <w:sz w:val="24"/>
        </w:rPr>
        <w:t>Перелік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8604D0" w:rsidRPr="00482C93" w:rsidTr="00001AF6">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ind w:left="-114" w:right="-78"/>
              <w:jc w:val="center"/>
              <w:rPr>
                <w:b/>
                <w:sz w:val="20"/>
                <w:szCs w:val="20"/>
                <w:lang w:val="uk-UA"/>
              </w:rPr>
            </w:pPr>
            <w:r w:rsidRPr="00482C93">
              <w:rPr>
                <w:b/>
                <w:sz w:val="20"/>
                <w:szCs w:val="20"/>
                <w:lang w:val="uk-UA"/>
              </w:rPr>
              <w:t>№</w:t>
            </w:r>
            <w:r w:rsidRPr="00482C93">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jc w:val="center"/>
              <w:rPr>
                <w:b/>
                <w:sz w:val="20"/>
                <w:szCs w:val="20"/>
                <w:lang w:val="uk-UA"/>
              </w:rPr>
            </w:pPr>
            <w:r w:rsidRPr="00482C93">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ind w:left="-108" w:right="-108"/>
              <w:jc w:val="center"/>
              <w:rPr>
                <w:b/>
                <w:sz w:val="20"/>
                <w:szCs w:val="20"/>
                <w:lang w:val="uk-UA"/>
              </w:rPr>
            </w:pPr>
            <w:r w:rsidRPr="00482C93">
              <w:rPr>
                <w:b/>
                <w:sz w:val="20"/>
                <w:szCs w:val="20"/>
                <w:lang w:val="uk-UA"/>
              </w:rPr>
              <w:t xml:space="preserve">Термін реалізації </w:t>
            </w:r>
            <w:r w:rsidRPr="00482C93">
              <w:rPr>
                <w:sz w:val="20"/>
                <w:szCs w:val="20"/>
                <w:lang w:val="uk-UA"/>
              </w:rPr>
              <w:t>(початок/</w:t>
            </w:r>
            <w:r w:rsidRPr="00482C93">
              <w:rPr>
                <w:sz w:val="20"/>
                <w:szCs w:val="20"/>
                <w:lang w:val="uk-UA"/>
              </w:rPr>
              <w:br/>
              <w:t>закінчення)</w:t>
            </w:r>
            <w:r w:rsidRPr="00482C93">
              <w:rPr>
                <w:b/>
                <w:sz w:val="20"/>
                <w:szCs w:val="20"/>
                <w:lang w:val="uk-UA"/>
              </w:rPr>
              <w:t xml:space="preserve">, </w:t>
            </w:r>
          </w:p>
          <w:p w:rsidR="00D201E6" w:rsidRPr="00482C93" w:rsidRDefault="00D201E6" w:rsidP="00F5498E">
            <w:pPr>
              <w:ind w:left="-108" w:right="-108"/>
              <w:jc w:val="center"/>
              <w:rPr>
                <w:b/>
                <w:sz w:val="20"/>
                <w:szCs w:val="20"/>
                <w:lang w:val="uk-UA"/>
              </w:rPr>
            </w:pPr>
            <w:r w:rsidRPr="00482C93">
              <w:rPr>
                <w:sz w:val="20"/>
                <w:szCs w:val="20"/>
                <w:lang w:val="uk-UA"/>
              </w:rPr>
              <w:t>роки</w:t>
            </w:r>
            <w:r w:rsidRPr="00482C93">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b/>
                <w:sz w:val="20"/>
                <w:szCs w:val="20"/>
                <w:lang w:val="uk-UA"/>
              </w:rPr>
            </w:pPr>
            <w:r w:rsidRPr="00482C93">
              <w:rPr>
                <w:b/>
                <w:sz w:val="20"/>
                <w:szCs w:val="20"/>
                <w:lang w:val="uk-UA"/>
              </w:rPr>
              <w:t>Обсяги фінансування передбачені програмою</w:t>
            </w:r>
          </w:p>
          <w:p w:rsidR="00D201E6" w:rsidRPr="00482C93" w:rsidRDefault="00D201E6" w:rsidP="00F5498E">
            <w:pPr>
              <w:jc w:val="center"/>
              <w:rPr>
                <w:b/>
                <w:sz w:val="20"/>
                <w:szCs w:val="20"/>
                <w:lang w:val="uk-UA"/>
              </w:rPr>
            </w:pPr>
            <w:r w:rsidRPr="00482C93">
              <w:rPr>
                <w:b/>
                <w:sz w:val="20"/>
                <w:szCs w:val="20"/>
                <w:lang w:val="uk-UA"/>
              </w:rPr>
              <w:t>на 2018 рік</w:t>
            </w:r>
          </w:p>
          <w:p w:rsidR="00D201E6" w:rsidRPr="00482C93" w:rsidRDefault="00D201E6" w:rsidP="00F5498E">
            <w:pPr>
              <w:jc w:val="center"/>
              <w:rPr>
                <w:b/>
                <w:sz w:val="20"/>
                <w:szCs w:val="20"/>
                <w:lang w:val="uk-UA"/>
              </w:rPr>
            </w:pPr>
            <w:r w:rsidRPr="00482C93">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jc w:val="center"/>
              <w:rPr>
                <w:b/>
                <w:sz w:val="20"/>
                <w:szCs w:val="20"/>
                <w:lang w:val="uk-UA"/>
              </w:rPr>
            </w:pPr>
            <w:r w:rsidRPr="00482C93">
              <w:rPr>
                <w:b/>
                <w:sz w:val="20"/>
                <w:szCs w:val="20"/>
                <w:lang w:val="uk-UA"/>
              </w:rPr>
              <w:t>Очікуваний результат</w:t>
            </w:r>
          </w:p>
          <w:p w:rsidR="00D201E6" w:rsidRPr="00482C93" w:rsidRDefault="00D201E6" w:rsidP="00F5498E">
            <w:pPr>
              <w:jc w:val="center"/>
              <w:rPr>
                <w:b/>
                <w:sz w:val="20"/>
                <w:szCs w:val="20"/>
                <w:lang w:val="uk-UA"/>
              </w:rPr>
            </w:pPr>
            <w:r w:rsidRPr="00482C93">
              <w:rPr>
                <w:b/>
                <w:sz w:val="20"/>
                <w:szCs w:val="20"/>
                <w:lang w:val="uk-UA"/>
              </w:rPr>
              <w:t>за підсумками 2018 року</w:t>
            </w:r>
          </w:p>
        </w:tc>
      </w:tr>
      <w:tr w:rsidR="004A5441" w:rsidRPr="00482C93" w:rsidTr="004A5441">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A5441" w:rsidRPr="00482C93" w:rsidRDefault="004A5441" w:rsidP="00F5498E">
            <w:pPr>
              <w:jc w:val="center"/>
              <w:rPr>
                <w:b/>
                <w:sz w:val="20"/>
                <w:szCs w:val="20"/>
                <w:lang w:val="uk-UA"/>
              </w:rPr>
            </w:pPr>
            <w:r w:rsidRPr="0083088B">
              <w:rPr>
                <w:b/>
                <w:sz w:val="20"/>
                <w:szCs w:val="20"/>
                <w:lang w:val="uk-UA"/>
              </w:rPr>
              <w:t>Містобудування, житлова політика</w:t>
            </w:r>
          </w:p>
        </w:tc>
      </w:tr>
      <w:tr w:rsidR="004A5441" w:rsidRPr="00482C93" w:rsidTr="003B1833">
        <w:trPr>
          <w:trHeight w:val="70"/>
          <w:jc w:val="center"/>
        </w:trPr>
        <w:tc>
          <w:tcPr>
            <w:tcW w:w="158" w:type="pct"/>
            <w:tcBorders>
              <w:top w:val="single" w:sz="4" w:space="0" w:color="auto"/>
              <w:left w:val="single" w:sz="4" w:space="0" w:color="auto"/>
              <w:bottom w:val="single" w:sz="4" w:space="0" w:color="auto"/>
              <w:right w:val="single" w:sz="4" w:space="0" w:color="auto"/>
            </w:tcBorders>
          </w:tcPr>
          <w:p w:rsidR="004A5441" w:rsidRPr="0083088B" w:rsidRDefault="004A5441" w:rsidP="00300E77">
            <w:pPr>
              <w:ind w:right="-78"/>
              <w:rPr>
                <w:sz w:val="20"/>
                <w:szCs w:val="20"/>
                <w:lang w:val="uk-UA"/>
              </w:rPr>
            </w:pPr>
            <w:r w:rsidRPr="0083088B">
              <w:rPr>
                <w:sz w:val="20"/>
                <w:szCs w:val="20"/>
                <w:lang w:val="uk-UA"/>
              </w:rPr>
              <w:t>4.</w:t>
            </w:r>
          </w:p>
        </w:tc>
        <w:tc>
          <w:tcPr>
            <w:tcW w:w="1665" w:type="pct"/>
            <w:tcBorders>
              <w:top w:val="single" w:sz="4" w:space="0" w:color="auto"/>
              <w:left w:val="single" w:sz="4" w:space="0" w:color="auto"/>
              <w:bottom w:val="single" w:sz="4" w:space="0" w:color="auto"/>
              <w:right w:val="single" w:sz="4" w:space="0" w:color="auto"/>
            </w:tcBorders>
          </w:tcPr>
          <w:p w:rsidR="004A5441" w:rsidRPr="0083088B" w:rsidRDefault="004A5441" w:rsidP="00300E77">
            <w:pPr>
              <w:ind w:right="-78"/>
              <w:jc w:val="both"/>
              <w:rPr>
                <w:sz w:val="20"/>
                <w:szCs w:val="20"/>
                <w:lang w:val="uk-UA"/>
              </w:rPr>
            </w:pPr>
            <w:r w:rsidRPr="0083088B">
              <w:rPr>
                <w:sz w:val="20"/>
                <w:szCs w:val="20"/>
                <w:lang w:val="uk-UA"/>
              </w:rPr>
              <w:t>Програма молодіжного житлового кредитування у м. Суми на 2018-2020 роки (</w:t>
            </w:r>
            <w:r w:rsidRPr="0083088B">
              <w:rPr>
                <w:bCs/>
                <w:sz w:val="20"/>
                <w:szCs w:val="20"/>
                <w:lang w:val="uk-UA"/>
              </w:rPr>
              <w:t>рішення СМР від 29.11.2017                      № 2875-МР</w:t>
            </w:r>
            <w:r w:rsidRPr="0083088B">
              <w:rPr>
                <w:sz w:val="20"/>
                <w:szCs w:val="20"/>
                <w:lang w:val="uk-UA"/>
              </w:rPr>
              <w:t xml:space="preserve">) </w:t>
            </w:r>
            <w:r w:rsidR="005A7175" w:rsidRPr="004A5441">
              <w:rPr>
                <w:sz w:val="20"/>
                <w:szCs w:val="20"/>
                <w:lang w:val="uk-UA"/>
              </w:rPr>
              <w:t>(зі змінами)</w:t>
            </w:r>
            <w:bookmarkStart w:id="0" w:name="_GoBack"/>
            <w:bookmarkEnd w:id="0"/>
          </w:p>
        </w:tc>
        <w:tc>
          <w:tcPr>
            <w:tcW w:w="376" w:type="pct"/>
            <w:tcBorders>
              <w:top w:val="single" w:sz="4" w:space="0" w:color="auto"/>
              <w:left w:val="single" w:sz="4" w:space="0" w:color="auto"/>
              <w:bottom w:val="single" w:sz="4" w:space="0" w:color="auto"/>
              <w:right w:val="single" w:sz="4" w:space="0" w:color="auto"/>
            </w:tcBorders>
          </w:tcPr>
          <w:p w:rsidR="004A5441" w:rsidRPr="0083088B" w:rsidRDefault="004A5441" w:rsidP="00300E77">
            <w:pPr>
              <w:ind w:right="-78"/>
              <w:jc w:val="center"/>
              <w:rPr>
                <w:sz w:val="20"/>
                <w:szCs w:val="20"/>
                <w:lang w:val="uk-UA"/>
              </w:rPr>
            </w:pPr>
            <w:r w:rsidRPr="0083088B">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4A5441" w:rsidRPr="0083088B" w:rsidRDefault="004A5441" w:rsidP="00300E77">
            <w:pPr>
              <w:ind w:right="-78"/>
              <w:jc w:val="center"/>
              <w:rPr>
                <w:sz w:val="20"/>
                <w:szCs w:val="20"/>
                <w:lang w:val="uk-UA"/>
              </w:rPr>
            </w:pPr>
            <w:r w:rsidRPr="0083088B">
              <w:rPr>
                <w:sz w:val="20"/>
                <w:szCs w:val="20"/>
                <w:lang w:val="uk-UA"/>
              </w:rPr>
              <w:t>5000,0 (ДБ)</w:t>
            </w:r>
          </w:p>
          <w:p w:rsidR="004A5441" w:rsidRPr="0083088B" w:rsidRDefault="004A5441" w:rsidP="00300E77">
            <w:pPr>
              <w:ind w:right="-78"/>
              <w:jc w:val="center"/>
              <w:rPr>
                <w:sz w:val="20"/>
                <w:szCs w:val="20"/>
                <w:lang w:val="uk-UA"/>
              </w:rPr>
            </w:pPr>
            <w:r w:rsidRPr="0083088B">
              <w:rPr>
                <w:sz w:val="20"/>
                <w:szCs w:val="20"/>
                <w:lang w:val="uk-UA"/>
              </w:rPr>
              <w:t>2200,0 (ОБ)</w:t>
            </w:r>
          </w:p>
          <w:p w:rsidR="004A5441" w:rsidRPr="0083088B" w:rsidRDefault="004A5441" w:rsidP="00300E77">
            <w:pPr>
              <w:ind w:right="-78"/>
              <w:jc w:val="center"/>
              <w:rPr>
                <w:sz w:val="20"/>
                <w:szCs w:val="20"/>
                <w:lang w:val="uk-UA"/>
              </w:rPr>
            </w:pPr>
            <w:r>
              <w:rPr>
                <w:sz w:val="20"/>
                <w:szCs w:val="20"/>
                <w:lang w:val="uk-UA"/>
              </w:rPr>
              <w:t>4020</w:t>
            </w:r>
            <w:r w:rsidRPr="0083088B">
              <w:rPr>
                <w:sz w:val="20"/>
                <w:szCs w:val="20"/>
                <w:lang w:val="uk-UA"/>
              </w:rPr>
              <w:t>,0 (МБ)</w:t>
            </w:r>
          </w:p>
          <w:p w:rsidR="004A5441" w:rsidRPr="0083088B" w:rsidRDefault="004A5441" w:rsidP="00300E77">
            <w:pPr>
              <w:ind w:right="-78"/>
              <w:jc w:val="center"/>
              <w:rPr>
                <w:sz w:val="20"/>
                <w:szCs w:val="20"/>
                <w:lang w:val="uk-UA"/>
              </w:rPr>
            </w:pPr>
            <w:r w:rsidRPr="0083088B">
              <w:rPr>
                <w:sz w:val="20"/>
                <w:szCs w:val="20"/>
                <w:lang w:val="uk-UA"/>
              </w:rPr>
              <w:t>2700,0 (інші джерела)</w:t>
            </w:r>
          </w:p>
        </w:tc>
        <w:tc>
          <w:tcPr>
            <w:tcW w:w="2070" w:type="pct"/>
            <w:tcBorders>
              <w:top w:val="single" w:sz="4" w:space="0" w:color="auto"/>
              <w:left w:val="single" w:sz="4" w:space="0" w:color="auto"/>
              <w:bottom w:val="single" w:sz="4" w:space="0" w:color="auto"/>
              <w:right w:val="single" w:sz="4" w:space="0" w:color="auto"/>
            </w:tcBorders>
          </w:tcPr>
          <w:p w:rsidR="004A5441" w:rsidRPr="0083088B" w:rsidRDefault="004A5441" w:rsidP="00300E77">
            <w:pPr>
              <w:tabs>
                <w:tab w:val="num" w:pos="0"/>
              </w:tabs>
              <w:jc w:val="both"/>
              <w:rPr>
                <w:sz w:val="20"/>
                <w:szCs w:val="20"/>
                <w:lang w:val="uk-UA"/>
              </w:rPr>
            </w:pPr>
            <w:r w:rsidRPr="0083088B">
              <w:rPr>
                <w:sz w:val="20"/>
                <w:szCs w:val="20"/>
                <w:lang w:val="uk-UA"/>
              </w:rPr>
              <w:t>Поліпшення житлових умов молоді; доступність придбання житла для молодих громадян.</w:t>
            </w:r>
          </w:p>
        </w:tc>
      </w:tr>
      <w:tr w:rsidR="0025031F" w:rsidRPr="00482C93" w:rsidTr="0025031F">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5031F" w:rsidRPr="00482C93" w:rsidRDefault="0025031F" w:rsidP="00F5498E">
            <w:pPr>
              <w:jc w:val="center"/>
              <w:rPr>
                <w:b/>
                <w:sz w:val="20"/>
                <w:szCs w:val="20"/>
                <w:lang w:val="uk-UA"/>
              </w:rPr>
            </w:pPr>
            <w:r w:rsidRPr="00482C93">
              <w:rPr>
                <w:b/>
                <w:spacing w:val="-6"/>
                <w:sz w:val="20"/>
                <w:szCs w:val="20"/>
                <w:lang w:val="uk-UA"/>
              </w:rPr>
              <w:t>Житлово-комунальне господарство</w:t>
            </w:r>
          </w:p>
        </w:tc>
      </w:tr>
      <w:tr w:rsidR="0025031F" w:rsidRPr="0025031F" w:rsidTr="007150A7">
        <w:trPr>
          <w:trHeight w:val="70"/>
          <w:jc w:val="center"/>
        </w:trPr>
        <w:tc>
          <w:tcPr>
            <w:tcW w:w="158" w:type="pct"/>
            <w:tcBorders>
              <w:top w:val="single" w:sz="4" w:space="0" w:color="auto"/>
              <w:left w:val="single" w:sz="4" w:space="0" w:color="auto"/>
              <w:bottom w:val="single" w:sz="4" w:space="0" w:color="auto"/>
              <w:right w:val="single" w:sz="4" w:space="0" w:color="auto"/>
            </w:tcBorders>
          </w:tcPr>
          <w:p w:rsidR="0025031F" w:rsidRPr="004A5441" w:rsidRDefault="0025031F" w:rsidP="007150A7">
            <w:pPr>
              <w:spacing w:line="228" w:lineRule="auto"/>
              <w:jc w:val="center"/>
              <w:rPr>
                <w:sz w:val="20"/>
                <w:szCs w:val="20"/>
                <w:lang w:val="uk-UA"/>
              </w:rPr>
            </w:pPr>
            <w:r w:rsidRPr="004A5441">
              <w:rPr>
                <w:sz w:val="20"/>
                <w:szCs w:val="20"/>
                <w:lang w:val="uk-UA"/>
              </w:rPr>
              <w:t>5.</w:t>
            </w:r>
          </w:p>
        </w:tc>
        <w:tc>
          <w:tcPr>
            <w:tcW w:w="1665" w:type="pct"/>
            <w:tcBorders>
              <w:top w:val="single" w:sz="4" w:space="0" w:color="auto"/>
              <w:left w:val="single" w:sz="4" w:space="0" w:color="auto"/>
              <w:bottom w:val="single" w:sz="4" w:space="0" w:color="auto"/>
              <w:right w:val="single" w:sz="4" w:space="0" w:color="auto"/>
            </w:tcBorders>
          </w:tcPr>
          <w:p w:rsidR="0025031F" w:rsidRPr="004A5441" w:rsidRDefault="0025031F" w:rsidP="0025031F">
            <w:pPr>
              <w:spacing w:line="228" w:lineRule="auto"/>
              <w:jc w:val="both"/>
              <w:rPr>
                <w:sz w:val="20"/>
                <w:szCs w:val="20"/>
                <w:lang w:val="uk-UA"/>
              </w:rPr>
            </w:pPr>
            <w:r w:rsidRPr="004A5441">
              <w:rPr>
                <w:sz w:val="20"/>
                <w:szCs w:val="20"/>
                <w:lang w:val="uk-UA"/>
              </w:rPr>
              <w:t>Комплексна цільова програма реформування і розвитку житлово-комунального господарства міста Суми на                   2018-2020 роки (рішення СМР від 21.12.2017 № 2913-МР (зі змінами)</w:t>
            </w:r>
          </w:p>
        </w:tc>
        <w:tc>
          <w:tcPr>
            <w:tcW w:w="376" w:type="pct"/>
            <w:tcBorders>
              <w:top w:val="single" w:sz="4" w:space="0" w:color="auto"/>
              <w:left w:val="single" w:sz="4" w:space="0" w:color="auto"/>
              <w:bottom w:val="single" w:sz="4" w:space="0" w:color="auto"/>
              <w:right w:val="single" w:sz="4" w:space="0" w:color="auto"/>
            </w:tcBorders>
          </w:tcPr>
          <w:p w:rsidR="0025031F" w:rsidRPr="004A5441" w:rsidRDefault="0025031F" w:rsidP="0025031F">
            <w:pPr>
              <w:spacing w:line="228" w:lineRule="auto"/>
              <w:jc w:val="center"/>
              <w:rPr>
                <w:sz w:val="20"/>
                <w:szCs w:val="20"/>
                <w:lang w:val="uk-UA"/>
              </w:rPr>
            </w:pPr>
            <w:r w:rsidRPr="004A5441">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25031F" w:rsidRPr="004A5441" w:rsidRDefault="004A5441" w:rsidP="0025031F">
            <w:pPr>
              <w:spacing w:line="228" w:lineRule="auto"/>
              <w:jc w:val="center"/>
              <w:rPr>
                <w:sz w:val="20"/>
                <w:szCs w:val="20"/>
                <w:lang w:val="uk-UA"/>
              </w:rPr>
            </w:pPr>
            <w:r w:rsidRPr="004A5441">
              <w:rPr>
                <w:sz w:val="20"/>
                <w:szCs w:val="20"/>
                <w:lang w:val="uk-UA"/>
              </w:rPr>
              <w:t>15710,92</w:t>
            </w:r>
            <w:r w:rsidR="0025031F" w:rsidRPr="004A5441">
              <w:rPr>
                <w:sz w:val="20"/>
                <w:szCs w:val="20"/>
                <w:lang w:val="uk-UA"/>
              </w:rPr>
              <w:t xml:space="preserve"> (ДБ)</w:t>
            </w:r>
          </w:p>
          <w:p w:rsidR="0025031F" w:rsidRPr="004A5441" w:rsidRDefault="004A5441" w:rsidP="0025031F">
            <w:pPr>
              <w:spacing w:line="228" w:lineRule="auto"/>
              <w:jc w:val="center"/>
              <w:rPr>
                <w:sz w:val="20"/>
                <w:szCs w:val="20"/>
                <w:lang w:val="uk-UA"/>
              </w:rPr>
            </w:pPr>
            <w:r w:rsidRPr="004A5441">
              <w:rPr>
                <w:sz w:val="20"/>
                <w:szCs w:val="20"/>
                <w:lang w:val="uk-UA"/>
              </w:rPr>
              <w:t>872063,23</w:t>
            </w:r>
            <w:r w:rsidR="0025031F" w:rsidRPr="004A5441">
              <w:rPr>
                <w:sz w:val="20"/>
                <w:szCs w:val="20"/>
                <w:lang w:val="uk-UA"/>
              </w:rPr>
              <w:t xml:space="preserve"> (МБ)</w:t>
            </w:r>
          </w:p>
          <w:p w:rsidR="0025031F" w:rsidRPr="004A5441" w:rsidRDefault="0025031F" w:rsidP="0025031F">
            <w:pPr>
              <w:spacing w:line="228" w:lineRule="auto"/>
              <w:jc w:val="center"/>
              <w:rPr>
                <w:sz w:val="20"/>
                <w:szCs w:val="20"/>
                <w:lang w:val="uk-UA"/>
              </w:rPr>
            </w:pPr>
            <w:r w:rsidRPr="004A5441">
              <w:rPr>
                <w:sz w:val="20"/>
                <w:szCs w:val="20"/>
                <w:lang w:val="uk-UA"/>
              </w:rPr>
              <w:t>656,0 (інші джерела)</w:t>
            </w:r>
          </w:p>
          <w:p w:rsidR="0025031F" w:rsidRPr="004A5441" w:rsidRDefault="0025031F" w:rsidP="0025031F">
            <w:pPr>
              <w:spacing w:line="228" w:lineRule="auto"/>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25031F" w:rsidRPr="00482C93" w:rsidRDefault="0025031F" w:rsidP="0025031F">
            <w:pPr>
              <w:spacing w:line="228" w:lineRule="auto"/>
              <w:jc w:val="both"/>
              <w:rPr>
                <w:sz w:val="20"/>
                <w:szCs w:val="20"/>
                <w:lang w:val="uk-UA"/>
              </w:rPr>
            </w:pPr>
            <w:r w:rsidRPr="004A5441">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pStyle w:val="a5"/>
              <w:widowControl w:val="0"/>
              <w:spacing w:line="228" w:lineRule="auto"/>
              <w:rPr>
                <w:rFonts w:ascii="Times New Roman" w:hAnsi="Times New Roman"/>
                <w:b/>
                <w:color w:val="auto"/>
                <w:sz w:val="20"/>
                <w:szCs w:val="20"/>
                <w:lang w:val="uk-UA"/>
              </w:rPr>
            </w:pPr>
            <w:r w:rsidRPr="00482C93">
              <w:rPr>
                <w:rFonts w:ascii="Times New Roman" w:hAnsi="Times New Roman"/>
                <w:b/>
                <w:color w:val="auto"/>
                <w:sz w:val="20"/>
                <w:szCs w:val="20"/>
                <w:lang w:val="uk-UA"/>
              </w:rPr>
              <w:t>Соціальне забезпечення</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Міська програма «Місто Суми – територія добра та милосердя» на 2016 – 2018 роки»  (</w:t>
            </w:r>
            <w:r w:rsidRPr="00482C93">
              <w:rPr>
                <w:bCs/>
                <w:sz w:val="20"/>
                <w:szCs w:val="20"/>
                <w:lang w:val="uk-UA"/>
              </w:rPr>
              <w:t>рішення СМР від 24.12.2015  № 148-МР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spacing w:line="228" w:lineRule="auto"/>
              <w:jc w:val="center"/>
              <w:rPr>
                <w:sz w:val="20"/>
                <w:szCs w:val="20"/>
                <w:lang w:val="uk-UA"/>
              </w:rPr>
            </w:pPr>
            <w:r w:rsidRPr="00482C93">
              <w:rPr>
                <w:sz w:val="20"/>
                <w:szCs w:val="20"/>
                <w:lang w:val="uk-UA"/>
              </w:rPr>
              <w:t>6</w:t>
            </w:r>
            <w:r w:rsidR="0025031F">
              <w:rPr>
                <w:sz w:val="20"/>
                <w:szCs w:val="20"/>
                <w:lang w:val="uk-UA"/>
              </w:rPr>
              <w:t>3750,9</w:t>
            </w:r>
            <w:r w:rsidR="00D201E6" w:rsidRPr="00482C93">
              <w:rPr>
                <w:sz w:val="20"/>
                <w:szCs w:val="20"/>
                <w:lang w:val="uk-UA"/>
              </w:rPr>
              <w:t xml:space="preserve"> (МБ)</w:t>
            </w:r>
          </w:p>
          <w:p w:rsidR="00D201E6" w:rsidRPr="00482C93" w:rsidRDefault="00D201E6" w:rsidP="00F5498E">
            <w:pPr>
              <w:spacing w:line="228" w:lineRule="auto"/>
              <w:jc w:val="center"/>
              <w:rPr>
                <w:sz w:val="20"/>
                <w:szCs w:val="20"/>
                <w:lang w:val="uk-UA"/>
              </w:rPr>
            </w:pPr>
            <w:r w:rsidRPr="00482C93">
              <w:rPr>
                <w:sz w:val="20"/>
                <w:szCs w:val="20"/>
                <w:lang w:val="uk-UA"/>
              </w:rPr>
              <w:t>41,4 (інші джерела)</w:t>
            </w:r>
          </w:p>
          <w:p w:rsidR="00D201E6" w:rsidRPr="00482C93" w:rsidRDefault="00D201E6" w:rsidP="00F5498E">
            <w:pPr>
              <w:spacing w:line="228" w:lineRule="auto"/>
              <w:jc w:val="center"/>
              <w:rPr>
                <w:sz w:val="20"/>
                <w:szCs w:val="20"/>
                <w:lang w:val="uk-UA"/>
              </w:rPr>
            </w:pPr>
          </w:p>
          <w:p w:rsidR="00D201E6" w:rsidRPr="00482C93" w:rsidRDefault="00D201E6" w:rsidP="00F5498E">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ind w:firstLine="318"/>
              <w:jc w:val="center"/>
              <w:rPr>
                <w:b/>
                <w:sz w:val="20"/>
                <w:szCs w:val="20"/>
                <w:lang w:val="uk-UA"/>
              </w:rPr>
            </w:pPr>
            <w:r w:rsidRPr="00482C93">
              <w:rPr>
                <w:b/>
                <w:sz w:val="20"/>
                <w:szCs w:val="20"/>
                <w:lang w:val="uk-UA"/>
              </w:rPr>
              <w:t>Культура, туризм</w:t>
            </w:r>
          </w:p>
        </w:tc>
      </w:tr>
      <w:tr w:rsidR="008604D0" w:rsidRPr="004A5441" w:rsidTr="00001AF6">
        <w:trPr>
          <w:trHeight w:val="4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Міська цільова комплексна Програма розвитку культури  міста Суми на 2016 - 2018 роки (</w:t>
            </w:r>
            <w:r w:rsidRPr="00482C93">
              <w:rPr>
                <w:bCs/>
                <w:sz w:val="20"/>
                <w:szCs w:val="20"/>
                <w:lang w:val="uk-UA"/>
              </w:rPr>
              <w:t xml:space="preserve">рішення СМР від 24.12.2015 № 159-МР </w:t>
            </w:r>
            <w:r w:rsidRPr="00482C93">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25031F" w:rsidP="00F5498E">
            <w:pPr>
              <w:jc w:val="center"/>
              <w:rPr>
                <w:sz w:val="20"/>
                <w:szCs w:val="20"/>
                <w:lang w:val="uk-UA"/>
              </w:rPr>
            </w:pPr>
            <w:r>
              <w:rPr>
                <w:sz w:val="20"/>
                <w:szCs w:val="20"/>
                <w:lang w:val="uk-UA"/>
              </w:rPr>
              <w:t>8824,9</w:t>
            </w:r>
            <w:r w:rsidR="00D201E6" w:rsidRPr="00482C93">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001AF6" w:rsidRPr="00482C93" w:rsidRDefault="00D201E6" w:rsidP="0025031F">
            <w:pPr>
              <w:jc w:val="both"/>
              <w:rPr>
                <w:b/>
                <w:sz w:val="20"/>
                <w:szCs w:val="20"/>
                <w:lang w:val="uk-UA"/>
              </w:rPr>
            </w:pPr>
            <w:r w:rsidRPr="00482C93">
              <w:rPr>
                <w:sz w:val="20"/>
                <w:szCs w:val="20"/>
                <w:lang w:val="uk-UA"/>
              </w:rPr>
              <w:t xml:space="preserve">Створення необхідних умов для позитивних змін у галузі культури: виховання у сумчан почуття патріотизму, організація їх змістовного дозвілля шляхом проведення загальноміських культурно-мистецьких заходів; забезпечення сприятливих умов для естетичного розвитку дітей та юнацтва шляхом залучення їх до здобуття початкової мистецької освіти у  школах естетичного виховання дітей; забезпечення потреб населення міста в інформації та доступу до друкованих культурних </w:t>
            </w:r>
            <w:r w:rsidRPr="00482C93">
              <w:rPr>
                <w:sz w:val="20"/>
                <w:szCs w:val="20"/>
                <w:lang w:val="uk-UA"/>
              </w:rPr>
              <w:lastRenderedPageBreak/>
              <w:t>надбань шляхом покращення якості бібліотечного обслуговування у бібліотеках Сумської міської центральної бібліотечної системи завдяки придбанню нової друкованої продукції.</w:t>
            </w:r>
          </w:p>
        </w:tc>
      </w:tr>
      <w:tr w:rsidR="006610E8" w:rsidRPr="004E03E4" w:rsidTr="006610E8">
        <w:trPr>
          <w:trHeight w:val="420"/>
          <w:jc w:val="center"/>
        </w:trPr>
        <w:tc>
          <w:tcPr>
            <w:tcW w:w="5000" w:type="pct"/>
            <w:gridSpan w:val="5"/>
            <w:tcBorders>
              <w:top w:val="single" w:sz="4" w:space="0" w:color="auto"/>
              <w:left w:val="single" w:sz="4" w:space="0" w:color="auto"/>
              <w:bottom w:val="single" w:sz="4" w:space="0" w:color="auto"/>
              <w:right w:val="single" w:sz="4" w:space="0" w:color="auto"/>
            </w:tcBorders>
          </w:tcPr>
          <w:p w:rsidR="006610E8" w:rsidRPr="00482C93" w:rsidRDefault="006610E8" w:rsidP="006610E8">
            <w:pPr>
              <w:jc w:val="center"/>
              <w:rPr>
                <w:sz w:val="20"/>
                <w:szCs w:val="20"/>
                <w:lang w:val="uk-UA"/>
              </w:rPr>
            </w:pPr>
            <w:r w:rsidRPr="00482C93">
              <w:rPr>
                <w:b/>
                <w:spacing w:val="-6"/>
                <w:sz w:val="20"/>
                <w:szCs w:val="20"/>
                <w:lang w:val="uk-UA"/>
              </w:rPr>
              <w:lastRenderedPageBreak/>
              <w:t>Інформаційний простір та громадянське суспільство</w:t>
            </w:r>
          </w:p>
        </w:tc>
      </w:tr>
      <w:tr w:rsidR="006610E8" w:rsidRPr="004E03E4" w:rsidTr="00001AF6">
        <w:trPr>
          <w:trHeight w:val="420"/>
          <w:jc w:val="center"/>
        </w:trPr>
        <w:tc>
          <w:tcPr>
            <w:tcW w:w="158" w:type="pct"/>
            <w:tcBorders>
              <w:top w:val="single" w:sz="4" w:space="0" w:color="auto"/>
              <w:left w:val="single" w:sz="4" w:space="0" w:color="auto"/>
              <w:bottom w:val="single" w:sz="4" w:space="0" w:color="auto"/>
              <w:right w:val="single" w:sz="4" w:space="0" w:color="auto"/>
            </w:tcBorders>
          </w:tcPr>
          <w:p w:rsidR="006610E8" w:rsidRPr="007150A7" w:rsidRDefault="006610E8" w:rsidP="00F27230">
            <w:pPr>
              <w:spacing w:line="216" w:lineRule="auto"/>
              <w:rPr>
                <w:sz w:val="20"/>
                <w:szCs w:val="20"/>
                <w:lang w:val="uk-UA"/>
              </w:rPr>
            </w:pPr>
            <w:r w:rsidRPr="007150A7">
              <w:rPr>
                <w:sz w:val="20"/>
                <w:szCs w:val="20"/>
                <w:lang w:val="uk-UA"/>
              </w:rPr>
              <w:t>21.</w:t>
            </w:r>
          </w:p>
        </w:tc>
        <w:tc>
          <w:tcPr>
            <w:tcW w:w="1665" w:type="pct"/>
            <w:tcBorders>
              <w:top w:val="single" w:sz="4" w:space="0" w:color="auto"/>
              <w:left w:val="single" w:sz="4" w:space="0" w:color="auto"/>
              <w:bottom w:val="single" w:sz="4" w:space="0" w:color="auto"/>
              <w:right w:val="single" w:sz="4" w:space="0" w:color="auto"/>
            </w:tcBorders>
          </w:tcPr>
          <w:p w:rsidR="006610E8" w:rsidRPr="007150A7" w:rsidRDefault="006610E8" w:rsidP="00F27230">
            <w:pPr>
              <w:spacing w:line="216" w:lineRule="auto"/>
              <w:jc w:val="both"/>
              <w:rPr>
                <w:sz w:val="20"/>
                <w:szCs w:val="20"/>
                <w:lang w:val="uk-UA"/>
              </w:rPr>
            </w:pPr>
            <w:r w:rsidRPr="007150A7">
              <w:rPr>
                <w:sz w:val="20"/>
                <w:szCs w:val="20"/>
                <w:lang w:val="uk-UA"/>
              </w:rPr>
              <w:t>Міська програма «Відкритий інформаційний простір                м. Суми» на 2016-2018 роки (рішення СМР від 30.12.2015 № 204-МР (зі змінами)</w:t>
            </w:r>
          </w:p>
        </w:tc>
        <w:tc>
          <w:tcPr>
            <w:tcW w:w="376" w:type="pct"/>
            <w:tcBorders>
              <w:top w:val="single" w:sz="4" w:space="0" w:color="auto"/>
              <w:left w:val="single" w:sz="4" w:space="0" w:color="auto"/>
              <w:bottom w:val="single" w:sz="4" w:space="0" w:color="auto"/>
              <w:right w:val="single" w:sz="4" w:space="0" w:color="auto"/>
            </w:tcBorders>
          </w:tcPr>
          <w:p w:rsidR="006610E8" w:rsidRPr="007150A7" w:rsidRDefault="006610E8" w:rsidP="00F27230">
            <w:pPr>
              <w:spacing w:line="216" w:lineRule="auto"/>
              <w:jc w:val="center"/>
              <w:rPr>
                <w:sz w:val="20"/>
                <w:szCs w:val="20"/>
                <w:lang w:val="uk-UA"/>
              </w:rPr>
            </w:pPr>
            <w:r w:rsidRPr="007150A7">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6610E8" w:rsidRPr="007150A7" w:rsidRDefault="007150A7" w:rsidP="00F27230">
            <w:pPr>
              <w:spacing w:line="216" w:lineRule="auto"/>
              <w:jc w:val="center"/>
              <w:rPr>
                <w:bCs/>
                <w:sz w:val="20"/>
                <w:szCs w:val="20"/>
                <w:lang w:val="uk-UA"/>
              </w:rPr>
            </w:pPr>
            <w:r w:rsidRPr="007150A7">
              <w:rPr>
                <w:bCs/>
                <w:sz w:val="20"/>
                <w:szCs w:val="20"/>
                <w:lang w:val="uk-UA"/>
              </w:rPr>
              <w:t>7753,7</w:t>
            </w:r>
            <w:r w:rsidR="006610E8" w:rsidRPr="007150A7">
              <w:rPr>
                <w:bCs/>
                <w:sz w:val="20"/>
                <w:szCs w:val="20"/>
                <w:lang w:val="uk-UA"/>
              </w:rPr>
              <w:t xml:space="preserve"> (МБ)</w:t>
            </w:r>
          </w:p>
          <w:p w:rsidR="006610E8" w:rsidRPr="007150A7" w:rsidRDefault="006610E8" w:rsidP="00F27230">
            <w:pPr>
              <w:spacing w:line="216" w:lineRule="auto"/>
              <w:jc w:val="center"/>
              <w:rPr>
                <w:bCs/>
                <w:sz w:val="20"/>
                <w:szCs w:val="20"/>
                <w:lang w:val="uk-UA"/>
              </w:rPr>
            </w:pPr>
          </w:p>
          <w:p w:rsidR="006610E8" w:rsidRPr="007150A7" w:rsidRDefault="006610E8" w:rsidP="00F27230">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6610E8" w:rsidRPr="007150A7" w:rsidRDefault="006610E8" w:rsidP="00F27230">
            <w:pPr>
              <w:spacing w:line="216" w:lineRule="auto"/>
              <w:jc w:val="both"/>
              <w:rPr>
                <w:sz w:val="20"/>
                <w:szCs w:val="20"/>
                <w:lang w:val="uk-UA"/>
              </w:rPr>
            </w:pPr>
            <w:r w:rsidRPr="007150A7">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p w:rsidR="006610E8" w:rsidRPr="007150A7" w:rsidRDefault="006610E8" w:rsidP="00F27230">
            <w:pPr>
              <w:spacing w:line="216" w:lineRule="auto"/>
              <w:jc w:val="both"/>
              <w:rPr>
                <w:sz w:val="20"/>
                <w:szCs w:val="20"/>
                <w:lang w:val="uk-UA"/>
              </w:rPr>
            </w:pPr>
          </w:p>
        </w:tc>
      </w:tr>
    </w:tbl>
    <w:p w:rsidR="00F33952" w:rsidRDefault="00F33952">
      <w:pPr>
        <w:rPr>
          <w:lang w:val="uk-UA"/>
        </w:rPr>
      </w:pPr>
    </w:p>
    <w:p w:rsidR="00407453" w:rsidRDefault="00407453">
      <w:pPr>
        <w:rPr>
          <w:lang w:val="uk-UA"/>
        </w:rPr>
      </w:pPr>
    </w:p>
    <w:p w:rsidR="00407453" w:rsidRDefault="00407453">
      <w:pPr>
        <w:rPr>
          <w:lang w:val="uk-UA"/>
        </w:rPr>
      </w:pPr>
    </w:p>
    <w:p w:rsidR="00407453" w:rsidRPr="001C1949" w:rsidRDefault="00407453" w:rsidP="00407453">
      <w:pPr>
        <w:jc w:val="both"/>
        <w:rPr>
          <w:b/>
          <w:sz w:val="28"/>
          <w:szCs w:val="28"/>
          <w:lang w:val="uk-UA"/>
        </w:rPr>
      </w:pPr>
      <w:r w:rsidRPr="001C1949">
        <w:rPr>
          <w:b/>
          <w:sz w:val="28"/>
          <w:szCs w:val="28"/>
          <w:lang w:val="uk-UA"/>
        </w:rPr>
        <w:t xml:space="preserve">Директор департаменту фінансів, економіки та </w:t>
      </w:r>
    </w:p>
    <w:p w:rsidR="00407453" w:rsidRPr="00482C93" w:rsidRDefault="00407453" w:rsidP="0025031F">
      <w:pPr>
        <w:jc w:val="both"/>
        <w:rPr>
          <w:lang w:val="uk-UA"/>
        </w:rPr>
      </w:pPr>
      <w:r w:rsidRPr="001C1949">
        <w:rPr>
          <w:b/>
          <w:sz w:val="28"/>
          <w:szCs w:val="28"/>
          <w:lang w:val="uk-UA"/>
        </w:rPr>
        <w:t>інвестицій Сумської міської ради</w:t>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t xml:space="preserve">                         С.А. Липова</w:t>
      </w:r>
    </w:p>
    <w:sectPr w:rsidR="00407453" w:rsidRPr="00482C93" w:rsidSect="004E03E4">
      <w:footerReference w:type="default" r:id="rId7"/>
      <w:pgSz w:w="16838" w:h="11906" w:orient="landscape"/>
      <w:pgMar w:top="1701" w:right="567" w:bottom="567" w:left="56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4E" w:rsidRDefault="001E554E" w:rsidP="00F34016">
      <w:r>
        <w:separator/>
      </w:r>
    </w:p>
  </w:endnote>
  <w:endnote w:type="continuationSeparator" w:id="0">
    <w:p w:rsidR="001E554E" w:rsidRDefault="001E554E"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F34016" w:rsidRDefault="00F34016">
        <w:pPr>
          <w:pStyle w:val="aa"/>
          <w:jc w:val="right"/>
        </w:pPr>
        <w:r>
          <w:fldChar w:fldCharType="begin"/>
        </w:r>
        <w:r>
          <w:instrText>PAGE   \* MERGEFORMAT</w:instrText>
        </w:r>
        <w:r>
          <w:fldChar w:fldCharType="separate"/>
        </w:r>
        <w:r w:rsidR="005A7175">
          <w:rPr>
            <w:noProof/>
          </w:rPr>
          <w:t>2</w:t>
        </w:r>
        <w:r>
          <w:fldChar w:fldCharType="end"/>
        </w:r>
      </w:p>
    </w:sdtContent>
  </w:sdt>
  <w:p w:rsidR="00F34016" w:rsidRDefault="00F34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4E" w:rsidRDefault="001E554E" w:rsidP="00F34016">
      <w:r>
        <w:separator/>
      </w:r>
    </w:p>
  </w:footnote>
  <w:footnote w:type="continuationSeparator" w:id="0">
    <w:p w:rsidR="001E554E" w:rsidRDefault="001E554E"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1C218F"/>
    <w:rsid w:val="001D42B2"/>
    <w:rsid w:val="001E554E"/>
    <w:rsid w:val="0025031F"/>
    <w:rsid w:val="002C587D"/>
    <w:rsid w:val="00375C38"/>
    <w:rsid w:val="00407453"/>
    <w:rsid w:val="00444431"/>
    <w:rsid w:val="00482C93"/>
    <w:rsid w:val="004A5441"/>
    <w:rsid w:val="004E03E4"/>
    <w:rsid w:val="004E3304"/>
    <w:rsid w:val="004E35BB"/>
    <w:rsid w:val="00533928"/>
    <w:rsid w:val="005A7175"/>
    <w:rsid w:val="00626A89"/>
    <w:rsid w:val="006610E8"/>
    <w:rsid w:val="007150A7"/>
    <w:rsid w:val="0076437E"/>
    <w:rsid w:val="007B64D7"/>
    <w:rsid w:val="007D3479"/>
    <w:rsid w:val="008604D0"/>
    <w:rsid w:val="0088104F"/>
    <w:rsid w:val="00AB777C"/>
    <w:rsid w:val="00B112DB"/>
    <w:rsid w:val="00C24093"/>
    <w:rsid w:val="00D201E6"/>
    <w:rsid w:val="00D2719E"/>
    <w:rsid w:val="00DA36F6"/>
    <w:rsid w:val="00DB4100"/>
    <w:rsid w:val="00E30A3C"/>
    <w:rsid w:val="00E31C60"/>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2018-04-19T06:52:00Z</cp:lastPrinted>
  <dcterms:created xsi:type="dcterms:W3CDTF">2018-05-05T08:24:00Z</dcterms:created>
  <dcterms:modified xsi:type="dcterms:W3CDTF">2018-05-10T10:12:00Z</dcterms:modified>
</cp:coreProperties>
</file>