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E8" w:rsidRDefault="0086362A" w:rsidP="00703EE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         Проект оприлюднено</w:t>
      </w:r>
    </w:p>
    <w:p w:rsidR="0086362A" w:rsidRPr="0086362A" w:rsidRDefault="00703EE8" w:rsidP="00703EE8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«__»________2017р.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                 № 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86362A" w:rsidP="00F9724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86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встановлення дорожнього знаку, що забороняє паркування транспортних засобів біля </w:t>
            </w:r>
            <w:proofErr w:type="spellStart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пам</w:t>
            </w:r>
            <w:proofErr w:type="spellEnd"/>
            <w:r w:rsidR="00F97243" w:rsidRP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ятних</w:t>
            </w:r>
            <w:proofErr w:type="spellEnd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знаків «</w:t>
            </w:r>
            <w:proofErr w:type="spellStart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Поклонний</w:t>
            </w:r>
            <w:proofErr w:type="spellEnd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хрест» та «Символічний Дзвін Війни» у м. Суми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F97243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0930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ня командира військової частини-польова пошта </w:t>
      </w:r>
      <w:proofErr w:type="spellStart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Ісмаілова</w:t>
      </w:r>
      <w:proofErr w:type="spellEnd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В.Ш. стосовно встановлення дорожнього знаку, що забороняє паркування автомобілів та інших транспортних засобів, біля пам</w:t>
      </w:r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ятних знаків «</w:t>
      </w:r>
      <w:proofErr w:type="spellStart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Поклонний</w:t>
      </w:r>
      <w:proofErr w:type="spellEnd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хрест» та «Символічний Дзвін війни», які було встановлено біля церкви Святого Іоанна в знак вшанування пам</w:t>
      </w:r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яті загиблих військовослужбовців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 частиною 1 статті 52 Закону України «Про місцеве самоврядування в Україні»,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5C7844" w:rsidRDefault="0086362A" w:rsidP="00703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</w:t>
      </w:r>
      <w:r w:rsidR="00F40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 Сумської міської ради (Шилов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В.В.) спільно з відповідними ст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руктурами здійснити заходи щодо 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встановлення дорожнього знаку, що забороняє паркування автомобілів та інших транспортних засобів біля пам</w:t>
      </w:r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ятних знаків «</w:t>
      </w:r>
      <w:proofErr w:type="spellStart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Поклонний</w:t>
      </w:r>
      <w:proofErr w:type="spellEnd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хрест» та «Символічний Дзвін Війни»</w:t>
      </w:r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місті Суми.</w:t>
      </w:r>
    </w:p>
    <w:p w:rsidR="00F406B2" w:rsidRDefault="00F406B2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86362A" w:rsidRPr="0086362A" w:rsidTr="00E43FF8">
        <w:trPr>
          <w:trHeight w:val="385"/>
        </w:trPr>
        <w:tc>
          <w:tcPr>
            <w:tcW w:w="2552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6F232F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6F232F" w:rsidRDefault="006F232F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F2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Лист погодження</w:t>
      </w:r>
    </w:p>
    <w:p w:rsidR="006F232F" w:rsidRPr="00703EE8" w:rsidRDefault="006F232F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32F" w:rsidRPr="00703EE8" w:rsidRDefault="006F232F" w:rsidP="00703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 xml:space="preserve">до проекту рішення </w:t>
      </w:r>
      <w:r w:rsidRPr="005C7844">
        <w:rPr>
          <w:rFonts w:ascii="Times New Roman" w:hAnsi="Times New Roman" w:cs="Times New Roman"/>
          <w:sz w:val="28"/>
          <w:szCs w:val="28"/>
        </w:rPr>
        <w:t>виконавчого комітету Сумської міської ради «</w:t>
      </w:r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встановлення дорожнього знаку, що забороняє паркування транспортних засобів біля пам’ятних знаків «</w:t>
      </w:r>
      <w:proofErr w:type="spellStart"/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Поклонний</w:t>
      </w:r>
      <w:proofErr w:type="spellEnd"/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хрест» та «Символічний Дзвін Війни» у м. Суми</w:t>
      </w:r>
      <w:r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капітального 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будівництва та дорожнього господарства                                          В.В. Шилов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головного спеціаліста-юрисконсульта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капітального будівництва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дорожнього господарства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Попела</w:t>
      </w:r>
      <w:proofErr w:type="spellEnd"/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протокольної 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та контролю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Моша</w:t>
      </w:r>
      <w:proofErr w:type="spellEnd"/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                                               В.В. Войтенко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управління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703EE8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заступника міського голови, керуючого</w:t>
      </w:r>
      <w:r w:rsidR="006F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справами виконавчого комітету                                                               С.Я. Пак</w:t>
      </w: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В.В. Шилов__________________</w:t>
      </w:r>
    </w:p>
    <w:sectPr w:rsidR="006F232F" w:rsidRPr="006F2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93079"/>
    <w:rsid w:val="000B70D8"/>
    <w:rsid w:val="005C7844"/>
    <w:rsid w:val="006F232F"/>
    <w:rsid w:val="00703EE8"/>
    <w:rsid w:val="0086362A"/>
    <w:rsid w:val="00A17449"/>
    <w:rsid w:val="00B1693F"/>
    <w:rsid w:val="00F406B2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2017-04-04T06:46:00Z</cp:lastPrinted>
  <dcterms:created xsi:type="dcterms:W3CDTF">2017-04-04T06:48:00Z</dcterms:created>
  <dcterms:modified xsi:type="dcterms:W3CDTF">2017-04-04T06:48:00Z</dcterms:modified>
</cp:coreProperties>
</file>