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0" w:rsidRPr="00012A5F" w:rsidRDefault="00711C80" w:rsidP="00711C8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 w:rsidR="00012A5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:rsidR="00C25579" w:rsidRPr="0036601E" w:rsidRDefault="00450C0D" w:rsidP="0036601E">
      <w:pPr>
        <w:shd w:val="clear" w:color="auto" w:fill="FFFFFF"/>
        <w:ind w:left="90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0C0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E2618">
        <w:rPr>
          <w:rFonts w:ascii="Times New Roman" w:hAnsi="Times New Roman" w:cs="Times New Roman"/>
          <w:sz w:val="24"/>
          <w:szCs w:val="24"/>
          <w:lang w:val="uk-UA"/>
        </w:rPr>
        <w:t>рішення Сумської міської ради «Про хід виконання «Програми з реалізації Конвенції ООН про права дитини Сумської міської територіальної громади на 2022-2024 роки», затвердженого рішенням Сумської міської ради від 29 вересня 2021 року № 1604-МР (зі змінами), за 2023 рік»</w:t>
      </w:r>
      <w:r w:rsidR="00C25579" w:rsidRPr="00C255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50C0D" w:rsidRPr="00D55180" w:rsidRDefault="00450C0D" w:rsidP="009E2618">
      <w:pPr>
        <w:widowControl w:val="0"/>
        <w:tabs>
          <w:tab w:val="left" w:pos="566"/>
        </w:tabs>
        <w:autoSpaceDE w:val="0"/>
        <w:autoSpaceDN w:val="0"/>
        <w:adjustRightInd w:val="0"/>
        <w:ind w:left="4536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9E2618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D549A2" w:rsidRPr="00012A5F">
        <w:rPr>
          <w:rFonts w:ascii="Times New Roman" w:hAnsi="Times New Roman" w:cs="Times New Roman"/>
          <w:sz w:val="24"/>
          <w:szCs w:val="24"/>
        </w:rPr>
        <w:t xml:space="preserve"> </w:t>
      </w:r>
      <w:r w:rsidRPr="00450C0D">
        <w:rPr>
          <w:rFonts w:ascii="Times New Roman" w:hAnsi="Times New Roman" w:cs="Times New Roman"/>
          <w:sz w:val="24"/>
          <w:szCs w:val="24"/>
          <w:lang w:val="uk-UA"/>
        </w:rPr>
        <w:t xml:space="preserve"> № </w:t>
      </w:r>
      <w:r w:rsidR="009E2618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144AD7" w:rsidRPr="00144AD7" w:rsidRDefault="00144AD7" w:rsidP="00144AD7">
      <w:pPr>
        <w:ind w:left="9498"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FF54A3" w:rsidRDefault="00FF54A3" w:rsidP="00FF54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Інформація про виконання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програми </w:t>
      </w:r>
    </w:p>
    <w:p w:rsidR="00FF54A3" w:rsidRPr="009E2618" w:rsidRDefault="00FF54A3" w:rsidP="00FF54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2023 рік</w:t>
      </w:r>
    </w:p>
    <w:p w:rsidR="00FF54A3" w:rsidRPr="009E2618" w:rsidRDefault="00FF54A3" w:rsidP="00FF54A3">
      <w:pPr>
        <w:pStyle w:val="a8"/>
        <w:numPr>
          <w:ilvl w:val="0"/>
          <w:numId w:val="1"/>
        </w:numPr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2618">
        <w:rPr>
          <w:rFonts w:ascii="Times New Roman" w:hAnsi="Times New Roman" w:cs="Times New Roman"/>
          <w:sz w:val="24"/>
          <w:szCs w:val="24"/>
          <w:lang w:val="uk-UA"/>
        </w:rPr>
        <w:t>Програма з реалізації Конвенції ООН про права дитини Сумської міської територіальної громади на 2022-2024 роки, затвердженої рішенням Сумської міської ради від 29 вересня 2021 року № 1604-МР (зі змінами).</w:t>
      </w:r>
    </w:p>
    <w:p w:rsidR="00FF54A3" w:rsidRPr="009E2618" w:rsidRDefault="00FF54A3" w:rsidP="00FF54A3">
      <w:pPr>
        <w:pStyle w:val="a8"/>
        <w:numPr>
          <w:ilvl w:val="0"/>
          <w:numId w:val="1"/>
        </w:numPr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2618">
        <w:rPr>
          <w:rFonts w:ascii="Times New Roman" w:hAnsi="Times New Roman" w:cs="Times New Roman"/>
          <w:sz w:val="24"/>
          <w:szCs w:val="24"/>
          <w:lang w:val="uk-UA"/>
        </w:rPr>
        <w:t>Управління «Служба у справах дітей» Сумської міської ради</w:t>
      </w:r>
    </w:p>
    <w:p w:rsidR="00FF54A3" w:rsidRPr="002424DD" w:rsidRDefault="00FF54A3" w:rsidP="00FF54A3">
      <w:pPr>
        <w:ind w:left="141" w:right="-60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24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</w:t>
      </w:r>
      <w:proofErr w:type="spellStart"/>
      <w:r w:rsidRPr="002424DD">
        <w:rPr>
          <w:rFonts w:ascii="Times New Roman" w:eastAsia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2424D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tbl>
      <w:tblPr>
        <w:tblW w:w="14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926"/>
        <w:gridCol w:w="1413"/>
        <w:gridCol w:w="1428"/>
        <w:gridCol w:w="850"/>
        <w:gridCol w:w="989"/>
        <w:gridCol w:w="999"/>
        <w:gridCol w:w="21"/>
        <w:gridCol w:w="865"/>
        <w:gridCol w:w="1034"/>
        <w:gridCol w:w="801"/>
        <w:gridCol w:w="7"/>
        <w:gridCol w:w="706"/>
        <w:gridCol w:w="709"/>
        <w:gridCol w:w="1047"/>
        <w:gridCol w:w="6"/>
        <w:gridCol w:w="11"/>
      </w:tblGrid>
      <w:tr w:rsidR="00FF54A3" w:rsidTr="00D95D28">
        <w:trPr>
          <w:trHeight w:val="465"/>
          <w:jc w:val="center"/>
        </w:trPr>
        <w:tc>
          <w:tcPr>
            <w:tcW w:w="2714" w:type="dxa"/>
            <w:vMerge w:val="restart"/>
            <w:vAlign w:val="center"/>
          </w:tcPr>
          <w:p w:rsidR="00FF54A3" w:rsidRDefault="00FF54A3" w:rsidP="00407F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4A3" w:rsidRDefault="00FF54A3" w:rsidP="00407F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завдання та заходу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  <w:vMerge w:val="restart"/>
            <w:vAlign w:val="center"/>
          </w:tcPr>
          <w:p w:rsidR="00FF54A3" w:rsidRDefault="00FF54A3" w:rsidP="00407F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F54A3" w:rsidRDefault="00FF54A3" w:rsidP="00407F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КПКВК</w:t>
            </w:r>
          </w:p>
        </w:tc>
        <w:tc>
          <w:tcPr>
            <w:tcW w:w="2841" w:type="dxa"/>
            <w:gridSpan w:val="2"/>
            <w:vMerge w:val="restart"/>
            <w:vAlign w:val="center"/>
          </w:tcPr>
          <w:p w:rsidR="00FF54A3" w:rsidRPr="002424DD" w:rsidRDefault="00FF54A3" w:rsidP="00407F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 про виконання заходу/завдання</w:t>
            </w:r>
          </w:p>
        </w:tc>
        <w:tc>
          <w:tcPr>
            <w:tcW w:w="2838" w:type="dxa"/>
            <w:gridSpan w:val="3"/>
            <w:vAlign w:val="center"/>
          </w:tcPr>
          <w:p w:rsidR="00FF54A3" w:rsidRPr="00841A45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Обсяги фінансування програми</w:t>
            </w:r>
          </w:p>
        </w:tc>
        <w:tc>
          <w:tcPr>
            <w:tcW w:w="2728" w:type="dxa"/>
            <w:gridSpan w:val="5"/>
            <w:vAlign w:val="center"/>
          </w:tcPr>
          <w:p w:rsidR="00FF54A3" w:rsidRPr="00841A45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Затверджено в бюджеті СМТГ (зі змінами)</w:t>
            </w:r>
          </w:p>
        </w:tc>
        <w:tc>
          <w:tcPr>
            <w:tcW w:w="2479" w:type="dxa"/>
            <w:gridSpan w:val="5"/>
            <w:vAlign w:val="center"/>
          </w:tcPr>
          <w:p w:rsidR="00FF54A3" w:rsidRPr="00841A45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Виконано</w:t>
            </w:r>
          </w:p>
        </w:tc>
      </w:tr>
      <w:tr w:rsidR="00FF54A3" w:rsidTr="00D95D28">
        <w:trPr>
          <w:gridAfter w:val="1"/>
          <w:wAfter w:w="11" w:type="dxa"/>
          <w:trHeight w:val="1020"/>
          <w:jc w:val="center"/>
        </w:trPr>
        <w:tc>
          <w:tcPr>
            <w:tcW w:w="2714" w:type="dxa"/>
            <w:vMerge/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886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706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</w:tr>
      <w:tr w:rsidR="00FF54A3" w:rsidTr="00D95D28">
        <w:trPr>
          <w:gridAfter w:val="1"/>
          <w:wAfter w:w="11" w:type="dxa"/>
          <w:trHeight w:val="366"/>
          <w:jc w:val="center"/>
        </w:trPr>
        <w:tc>
          <w:tcPr>
            <w:tcW w:w="2714" w:type="dxa"/>
            <w:vAlign w:val="center"/>
          </w:tcPr>
          <w:p w:rsidR="00FF54A3" w:rsidRPr="002424DD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926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FF54A3" w:rsidRPr="002424DD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2</w:t>
            </w:r>
          </w:p>
          <w:p w:rsidR="00FF54A3" w:rsidRDefault="00FF54A3" w:rsidP="00407F6E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89" w:type="dxa"/>
            <w:vAlign w:val="center"/>
          </w:tcPr>
          <w:p w:rsidR="00FF54A3" w:rsidRPr="002424DD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999" w:type="dxa"/>
            <w:vAlign w:val="center"/>
          </w:tcPr>
          <w:p w:rsidR="00FF54A3" w:rsidRPr="002424DD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FF54A3" w:rsidRPr="002424DD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034" w:type="dxa"/>
            <w:vAlign w:val="center"/>
          </w:tcPr>
          <w:p w:rsidR="00FF54A3" w:rsidRPr="002424DD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808" w:type="dxa"/>
            <w:gridSpan w:val="2"/>
            <w:vAlign w:val="center"/>
          </w:tcPr>
          <w:p w:rsidR="00FF54A3" w:rsidRPr="002424DD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706" w:type="dxa"/>
            <w:vAlign w:val="center"/>
          </w:tcPr>
          <w:p w:rsidR="00FF54A3" w:rsidRPr="002424DD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FF54A3" w:rsidRPr="002424DD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053" w:type="dxa"/>
            <w:gridSpan w:val="2"/>
            <w:vAlign w:val="center"/>
          </w:tcPr>
          <w:p w:rsidR="00FF54A3" w:rsidRPr="002424DD" w:rsidRDefault="00FF54A3" w:rsidP="00D95D28">
            <w:pPr>
              <w:keepNext/>
              <w:spacing w:line="240" w:lineRule="auto"/>
              <w:ind w:hanging="10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FF54A3" w:rsidTr="00D95D28">
        <w:trPr>
          <w:trHeight w:val="52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Pr="00465254" w:rsidRDefault="00FF54A3" w:rsidP="00407F6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Всього на виконання програми,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джерелами фінансування</w:t>
            </w:r>
          </w:p>
        </w:tc>
        <w:tc>
          <w:tcPr>
            <w:tcW w:w="926" w:type="dxa"/>
            <w:vAlign w:val="center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68042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550,2</w:t>
            </w:r>
          </w:p>
        </w:tc>
        <w:tc>
          <w:tcPr>
            <w:tcW w:w="989" w:type="dxa"/>
            <w:vAlign w:val="center"/>
          </w:tcPr>
          <w:p w:rsidR="00FF54A3" w:rsidRPr="00680423" w:rsidRDefault="00FF54A3" w:rsidP="00407F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492,5</w:t>
            </w:r>
          </w:p>
        </w:tc>
        <w:tc>
          <w:tcPr>
            <w:tcW w:w="1020" w:type="dxa"/>
            <w:gridSpan w:val="2"/>
            <w:vAlign w:val="center"/>
          </w:tcPr>
          <w:p w:rsidR="00FF54A3" w:rsidRPr="00DB671C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  <w:tc>
          <w:tcPr>
            <w:tcW w:w="865" w:type="dxa"/>
            <w:vAlign w:val="center"/>
          </w:tcPr>
          <w:p w:rsidR="00FF54A3" w:rsidRPr="00680423" w:rsidRDefault="00FF54A3" w:rsidP="001B40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  <w:r w:rsidR="001B4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1B4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34" w:type="dxa"/>
            <w:vAlign w:val="center"/>
          </w:tcPr>
          <w:p w:rsidR="00FF54A3" w:rsidRPr="00680423" w:rsidRDefault="00FF54A3" w:rsidP="001B40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="001B40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B40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01" w:type="dxa"/>
            <w:vAlign w:val="center"/>
          </w:tcPr>
          <w:p w:rsidR="00FF54A3" w:rsidRPr="001B3797" w:rsidRDefault="00FF54A3" w:rsidP="00407F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  <w:tc>
          <w:tcPr>
            <w:tcW w:w="713" w:type="dxa"/>
            <w:gridSpan w:val="2"/>
            <w:vAlign w:val="center"/>
          </w:tcPr>
          <w:p w:rsidR="00FF54A3" w:rsidRPr="00680423" w:rsidRDefault="001B4097" w:rsidP="001B40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349</w:t>
            </w:r>
            <w:r w:rsidR="00FF5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FF54A3" w:rsidRPr="00680423" w:rsidRDefault="00FF54A3" w:rsidP="001B40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B40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B40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063" w:type="dxa"/>
            <w:gridSpan w:val="3"/>
            <w:vAlign w:val="center"/>
          </w:tcPr>
          <w:p w:rsidR="00FF54A3" w:rsidRPr="00025FC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</w:tr>
      <w:tr w:rsidR="00FF54A3" w:rsidTr="00D95D28">
        <w:trPr>
          <w:trHeight w:val="495"/>
          <w:jc w:val="center"/>
        </w:trPr>
        <w:tc>
          <w:tcPr>
            <w:tcW w:w="2714" w:type="dxa"/>
            <w:tcBorders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ТГ</w:t>
            </w:r>
          </w:p>
        </w:tc>
        <w:tc>
          <w:tcPr>
            <w:tcW w:w="926" w:type="dxa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spacing w:line="240" w:lineRule="auto"/>
              <w:ind w:right="-100" w:hanging="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492,5</w:t>
            </w:r>
          </w:p>
          <w:p w:rsidR="00FF54A3" w:rsidRPr="00680423" w:rsidRDefault="00FF54A3" w:rsidP="00407F6E">
            <w:pPr>
              <w:spacing w:line="240" w:lineRule="auto"/>
              <w:ind w:right="-100" w:hanging="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tcBorders>
              <w:bottom w:val="single" w:sz="4" w:space="0" w:color="000000"/>
            </w:tcBorders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492,5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:rsidR="00FF54A3" w:rsidRPr="001B4097" w:rsidRDefault="001B4097" w:rsidP="00407F6E">
            <w:pPr>
              <w:spacing w:line="240" w:lineRule="auto"/>
              <w:ind w:right="-100" w:hanging="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</w:t>
            </w:r>
            <w:r w:rsidRPr="001B4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342,2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vAlign w:val="center"/>
          </w:tcPr>
          <w:p w:rsidR="00FF54A3" w:rsidRPr="00680423" w:rsidRDefault="001B4097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342,2</w:t>
            </w:r>
          </w:p>
        </w:tc>
        <w:tc>
          <w:tcPr>
            <w:tcW w:w="801" w:type="dxa"/>
            <w:tcBorders>
              <w:bottom w:val="single" w:sz="4" w:space="0" w:color="000000"/>
            </w:tcBorders>
            <w:vAlign w:val="center"/>
          </w:tcPr>
          <w:p w:rsidR="00FF54A3" w:rsidRPr="001B3797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000000"/>
            </w:tcBorders>
            <w:vAlign w:val="center"/>
          </w:tcPr>
          <w:p w:rsidR="00FF54A3" w:rsidRPr="00680423" w:rsidRDefault="001B4097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291,9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F54A3" w:rsidRPr="00680423" w:rsidRDefault="001B4097" w:rsidP="001B4097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291</w:t>
            </w:r>
            <w:r w:rsidR="00FF54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063" w:type="dxa"/>
            <w:gridSpan w:val="3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trHeight w:val="495"/>
          <w:jc w:val="center"/>
        </w:trPr>
        <w:tc>
          <w:tcPr>
            <w:tcW w:w="2714" w:type="dxa"/>
            <w:tcBorders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45">
              <w:rPr>
                <w:rFonts w:ascii="Times New Roman" w:hAnsi="Times New Roman" w:cs="Times New Roman"/>
                <w:sz w:val="20"/>
                <w:szCs w:val="20"/>
              </w:rPr>
              <w:t>інші джерела фінансування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(власні надходження)</w:t>
            </w:r>
          </w:p>
        </w:tc>
        <w:tc>
          <w:tcPr>
            <w:tcW w:w="926" w:type="dxa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000000"/>
            </w:tcBorders>
            <w:vAlign w:val="center"/>
          </w:tcPr>
          <w:p w:rsidR="00FF54A3" w:rsidRPr="000D583F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57,7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19" w:type="dxa"/>
            <w:gridSpan w:val="4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54A3" w:rsidRPr="00DB671C" w:rsidRDefault="00FF54A3" w:rsidP="00407F6E">
            <w:pPr>
              <w:spacing w:line="240" w:lineRule="auto"/>
              <w:ind w:left="-100"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 </w:t>
            </w:r>
            <w:r w:rsidRPr="00DB67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57,7</w:t>
            </w:r>
          </w:p>
        </w:tc>
        <w:tc>
          <w:tcPr>
            <w:tcW w:w="801" w:type="dxa"/>
            <w:tcBorders>
              <w:left w:val="nil"/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  <w:tc>
          <w:tcPr>
            <w:tcW w:w="713" w:type="dxa"/>
            <w:gridSpan w:val="2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57,7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3" w:type="dxa"/>
            <w:gridSpan w:val="3"/>
            <w:tcBorders>
              <w:bottom w:val="single" w:sz="4" w:space="0" w:color="000000"/>
            </w:tcBorders>
            <w:vAlign w:val="center"/>
          </w:tcPr>
          <w:p w:rsidR="00FF54A3" w:rsidRPr="00025FC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1,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Pr="00974859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Охорона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здоров</w:t>
            </w:r>
            <w:proofErr w:type="spellEnd"/>
            <w:r w:rsidRPr="00C36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 та формування здорового способу життя дітей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FF54A3" w:rsidRPr="00B74176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1.1.,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C36AB4" w:rsidRDefault="00FF54A3" w:rsidP="00407F6E">
            <w:pPr>
              <w:pStyle w:val="Style1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C36AB4">
              <w:rPr>
                <w:sz w:val="20"/>
                <w:szCs w:val="20"/>
                <w:lang w:val="uk-UA"/>
              </w:rPr>
              <w:t>1.1. Надання комплексної медико-</w:t>
            </w:r>
            <w:proofErr w:type="spellStart"/>
            <w:r w:rsidRPr="00C36AB4">
              <w:rPr>
                <w:sz w:val="20"/>
                <w:szCs w:val="20"/>
                <w:lang w:val="uk-UA"/>
              </w:rPr>
              <w:t>психо</w:t>
            </w:r>
            <w:proofErr w:type="spellEnd"/>
            <w:r w:rsidRPr="00C36AB4">
              <w:rPr>
                <w:sz w:val="20"/>
                <w:szCs w:val="20"/>
                <w:lang w:val="uk-UA"/>
              </w:rPr>
              <w:t>-соціальної допомоги підліткам та молоді з метою збереження їх здоров’я на базі  «Клініки, дружньої до молоді» КНП «Дитяча клінічна лікарня Святої Зінаїди» Сумської міської ради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 w:val="restart"/>
          </w:tcPr>
          <w:p w:rsidR="00FF54A3" w:rsidRPr="00B74176" w:rsidRDefault="00FF54A3" w:rsidP="00407F6E">
            <w:pPr>
              <w:spacing w:line="245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41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Відділення медико-соціальної допомоги «Клініка дружня до молоді» створено у складі КУ «Сумська міська дитяча клінічна лікарня Святої Зінаїди» у вересні 2010 року. У 2023 році з бюджету Сумської міської територіальної громади на функціонування відділення профінансовано 2379,8 тис. грн. </w:t>
            </w:r>
          </w:p>
          <w:p w:rsidR="00FF54A3" w:rsidRPr="00B74176" w:rsidRDefault="00FF54A3" w:rsidP="00407F6E">
            <w:pPr>
              <w:ind w:firstLine="567"/>
              <w:rPr>
                <w:rStyle w:val="aa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741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Відділення медико-соціальної допомоги «Клініка дружня до молоді» надає медичну допомогу підліткам та молоді на засадах Дружнього підходу до молоді і функціонує як підліткове відділення, рекомендованого Всесвітньою організацією охорони здоров’я, Дитячим Фондом ООН (ЮНІСЕФ), основними принципами якого є добровільність, доброзичливість, доступність, конфіденційність, анонімність та неосудливий підхід до відвідувача.</w:t>
            </w:r>
          </w:p>
          <w:p w:rsidR="00FF54A3" w:rsidRPr="00B74176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1.2.,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Pr="000B596C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6C">
              <w:rPr>
                <w:rStyle w:val="FontStyle12"/>
                <w:b w:val="0"/>
                <w:sz w:val="20"/>
                <w:szCs w:val="20"/>
                <w:lang w:val="uk-UA" w:eastAsia="uk-UA"/>
              </w:rPr>
              <w:t>1.2. Організація проведення обов'язкового медичного профілактичного</w:t>
            </w:r>
            <w:r w:rsidRPr="000B596C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0B596C">
              <w:rPr>
                <w:rStyle w:val="FontStyle12"/>
                <w:b w:val="0"/>
                <w:sz w:val="20"/>
                <w:szCs w:val="20"/>
                <w:lang w:val="uk-UA" w:eastAsia="uk-UA"/>
              </w:rPr>
              <w:t>о</w:t>
            </w:r>
            <w:r w:rsidRPr="000B596C">
              <w:rPr>
                <w:rStyle w:val="a4"/>
                <w:rFonts w:eastAsia="Arial"/>
                <w:sz w:val="20"/>
                <w:szCs w:val="20"/>
                <w:lang w:val="uk-UA" w:eastAsia="uk-UA"/>
              </w:rPr>
              <w:t>гляду дітей до 18 років, у тому числі дітей-сиріт та дітей, позбавлених батьківського піклування, дітей-інвалідів, а також опікунів, піклувальників територіальної громади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</w:tcPr>
          <w:p w:rsidR="00FF54A3" w:rsidRDefault="00FF54A3" w:rsidP="00407F6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2,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0B596C" w:rsidRDefault="00FF54A3" w:rsidP="00407F6E">
            <w:pPr>
              <w:ind w:left="64" w:right="-24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5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Протидія ВІЛ/СНІДу, туберкульозу, наркоманії та тютюнопалінню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Pr="00CB174E" w:rsidRDefault="00FF54A3" w:rsidP="00407F6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4E">
              <w:rPr>
                <w:rFonts w:ascii="Times New Roman" w:hAnsi="Times New Roman" w:cs="Times New Roman"/>
                <w:sz w:val="20"/>
                <w:szCs w:val="20"/>
              </w:rPr>
              <w:t xml:space="preserve">На тему «Репродуктивне здоров’я та відповідальна поведінка учнівської молоді, безпека в інтернеті» за звітний період </w:t>
            </w:r>
            <w:r w:rsidRPr="00CB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проведено 10 тренінгів «Майбутнє варто планувати». </w:t>
            </w:r>
          </w:p>
          <w:p w:rsidR="00FF54A3" w:rsidRPr="00CB174E" w:rsidRDefault="00FF54A3" w:rsidP="00407F6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4E">
              <w:rPr>
                <w:rFonts w:ascii="Times New Roman" w:hAnsi="Times New Roman" w:cs="Times New Roman"/>
                <w:sz w:val="20"/>
                <w:szCs w:val="20"/>
              </w:rPr>
              <w:t xml:space="preserve">15 тренінгів – </w:t>
            </w:r>
            <w:proofErr w:type="spellStart"/>
            <w:r w:rsidRPr="00CB174E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CB174E">
              <w:rPr>
                <w:rFonts w:ascii="Times New Roman" w:hAnsi="Times New Roman" w:cs="Times New Roman"/>
                <w:sz w:val="20"/>
                <w:szCs w:val="20"/>
              </w:rPr>
              <w:t xml:space="preserve"> на базі КДМ Сірка, 3 (їх відвідали студенти учні 23 школи, 9 школи, Сумського вищого професійного училища будівництва і автотранспорту, медичного коледжу, 9 школи, Сумського державного педагогічного університету ім.. </w:t>
            </w:r>
            <w:proofErr w:type="spellStart"/>
            <w:r w:rsidRPr="00CB174E">
              <w:rPr>
                <w:rFonts w:ascii="Times New Roman" w:hAnsi="Times New Roman" w:cs="Times New Roman"/>
                <w:sz w:val="20"/>
                <w:szCs w:val="20"/>
              </w:rPr>
              <w:t>А.С.Макаренка</w:t>
            </w:r>
            <w:proofErr w:type="spellEnd"/>
            <w:r w:rsidRPr="00CB174E">
              <w:rPr>
                <w:rFonts w:ascii="Times New Roman" w:hAnsi="Times New Roman" w:cs="Times New Roman"/>
                <w:sz w:val="20"/>
                <w:szCs w:val="20"/>
              </w:rPr>
              <w:t xml:space="preserve">). Всього охоплено 1904 підлітків та молоді. </w:t>
            </w:r>
          </w:p>
          <w:p w:rsidR="00FF54A3" w:rsidRPr="00CB174E" w:rsidRDefault="00FF54A3" w:rsidP="00407F6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4E">
              <w:rPr>
                <w:rFonts w:ascii="Times New Roman" w:hAnsi="Times New Roman" w:cs="Times New Roman"/>
                <w:sz w:val="20"/>
                <w:szCs w:val="20"/>
              </w:rPr>
              <w:t xml:space="preserve">50 інтерактивних заходів проведено онлайн (прямі ефіри в мережі </w:t>
            </w:r>
            <w:proofErr w:type="spellStart"/>
            <w:r w:rsidRPr="00CB174E">
              <w:rPr>
                <w:rFonts w:ascii="Times New Roman" w:hAnsi="Times New Roman" w:cs="Times New Roman"/>
                <w:sz w:val="20"/>
                <w:szCs w:val="20"/>
              </w:rPr>
              <w:t>інстаграм</w:t>
            </w:r>
            <w:proofErr w:type="spellEnd"/>
            <w:r w:rsidRPr="00CB174E">
              <w:rPr>
                <w:rFonts w:ascii="Times New Roman" w:hAnsi="Times New Roman" w:cs="Times New Roman"/>
                <w:sz w:val="20"/>
                <w:szCs w:val="20"/>
              </w:rPr>
              <w:t xml:space="preserve"> та онлайн лекції для молоді). Охоплення молоді за один прямий ефір  50-100 осіб. Розкриваються питання здоров’я, сексуального та репродуктивного здоров’я, як його складових, здорового способу життя. </w:t>
            </w:r>
          </w:p>
          <w:p w:rsidR="00FF54A3" w:rsidRPr="00CB174E" w:rsidRDefault="00FF54A3" w:rsidP="00407F6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4E">
              <w:rPr>
                <w:rFonts w:ascii="Times New Roman" w:hAnsi="Times New Roman" w:cs="Times New Roman"/>
                <w:sz w:val="20"/>
                <w:szCs w:val="20"/>
              </w:rPr>
              <w:t xml:space="preserve">Через зміни формату навчання додані поняття секстину, </w:t>
            </w:r>
            <w:proofErr w:type="spellStart"/>
            <w:r w:rsidRPr="00CB174E">
              <w:rPr>
                <w:rFonts w:ascii="Times New Roman" w:hAnsi="Times New Roman" w:cs="Times New Roman"/>
                <w:sz w:val="20"/>
                <w:szCs w:val="20"/>
              </w:rPr>
              <w:t>кібергрумінгу</w:t>
            </w:r>
            <w:proofErr w:type="spellEnd"/>
            <w:r w:rsidRPr="00CB17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174E">
              <w:rPr>
                <w:rFonts w:ascii="Times New Roman" w:hAnsi="Times New Roman" w:cs="Times New Roman"/>
                <w:sz w:val="20"/>
                <w:szCs w:val="20"/>
              </w:rPr>
              <w:t>сексторшену</w:t>
            </w:r>
            <w:proofErr w:type="spellEnd"/>
            <w:r w:rsidRPr="00CB174E">
              <w:rPr>
                <w:rFonts w:ascii="Times New Roman" w:hAnsi="Times New Roman" w:cs="Times New Roman"/>
                <w:sz w:val="20"/>
                <w:szCs w:val="20"/>
              </w:rPr>
              <w:t xml:space="preserve">, як убезпечити підліткам себе від маніпуляцій, </w:t>
            </w:r>
            <w:proofErr w:type="spellStart"/>
            <w:r w:rsidRPr="00CB174E">
              <w:rPr>
                <w:rFonts w:ascii="Times New Roman" w:hAnsi="Times New Roman" w:cs="Times New Roman"/>
                <w:sz w:val="20"/>
                <w:szCs w:val="20"/>
              </w:rPr>
              <w:t>залежностей</w:t>
            </w:r>
            <w:proofErr w:type="spellEnd"/>
            <w:r w:rsidRPr="00CB174E">
              <w:rPr>
                <w:rFonts w:ascii="Times New Roman" w:hAnsi="Times New Roman" w:cs="Times New Roman"/>
                <w:sz w:val="20"/>
                <w:szCs w:val="20"/>
              </w:rPr>
              <w:t xml:space="preserve">, шахраїв, небезпечних груп. Мета тренінгів – донести до молодого покоління необхідність збереження репродуктивного здоров’я та проінформувати широку громадськість про важливість відстрочення початку статевого життя та використання сучасних </w:t>
            </w:r>
            <w:r w:rsidRPr="00CB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методів контрацепції як альтернативи незапланованій вагітності, абортам та інфекціям, що передаються статевим шляхом. Акцент зроблено на сімейні цінності та формування усвідомленої поведінки, закладання основ відповідального батьківства. </w:t>
            </w:r>
          </w:p>
          <w:p w:rsidR="00FF54A3" w:rsidRPr="00CB174E" w:rsidRDefault="00FF54A3" w:rsidP="00407F6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4E">
              <w:rPr>
                <w:rFonts w:ascii="Times New Roman" w:hAnsi="Times New Roman" w:cs="Times New Roman"/>
                <w:sz w:val="20"/>
                <w:szCs w:val="20"/>
              </w:rPr>
              <w:t xml:space="preserve">Додані теми: «Секс і війна», «Контрацепція під час війни» «Альтернативні способи використання презервативів», «Як підтримати того, хто пережив сексуальне насилля», «Репродуктивне здоров’я, сексуальне життя та контрацепція під час війни». </w:t>
            </w:r>
          </w:p>
          <w:p w:rsidR="00FF54A3" w:rsidRPr="00CB174E" w:rsidRDefault="00FF54A3" w:rsidP="00407F6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4E">
              <w:rPr>
                <w:rFonts w:ascii="Times New Roman" w:hAnsi="Times New Roman" w:cs="Times New Roman"/>
                <w:sz w:val="20"/>
                <w:szCs w:val="20"/>
              </w:rPr>
              <w:t>Тренінги проводить сертифікований тренер - соціальний педагог Крамар А.О.</w:t>
            </w:r>
          </w:p>
          <w:p w:rsidR="00FF54A3" w:rsidRPr="00CB174E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2.1.,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0B596C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5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2.1. Забезпечення проведення просвітницьких заходів, направлених на формування здоров’я </w:t>
            </w:r>
            <w:proofErr w:type="spellStart"/>
            <w:r w:rsidRPr="000B5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збережувальної</w:t>
            </w:r>
            <w:proofErr w:type="spellEnd"/>
            <w:r w:rsidRPr="000B5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компетентності</w:t>
            </w:r>
          </w:p>
          <w:p w:rsidR="00FF54A3" w:rsidRPr="00ED4999" w:rsidRDefault="00FF54A3" w:rsidP="00407F6E">
            <w:pPr>
              <w:rPr>
                <w:lang w:val="uk-UA"/>
              </w:rPr>
            </w:pPr>
          </w:p>
          <w:p w:rsidR="00FF54A3" w:rsidRPr="00C36AB4" w:rsidRDefault="00FF54A3" w:rsidP="00407F6E">
            <w:pPr>
              <w:pStyle w:val="Style1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 w:val="restart"/>
            <w:tcBorders>
              <w:right w:val="single" w:sz="8" w:space="0" w:color="000000"/>
            </w:tcBorders>
          </w:tcPr>
          <w:p w:rsidR="00FF54A3" w:rsidRPr="00814024" w:rsidRDefault="00FF54A3" w:rsidP="00407F6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У закладах дошкільної освіти Сумської міської територіальної громади дошкільну освіту отримують 1008 дітей з особливими освітніми потребами, із них 92 дитини з інвалідністю. Відповідно до потреб батьків, ураховуючи фактичний стан здоров’я дітей, працює спеціальний </w:t>
            </w:r>
            <w:r w:rsidRPr="00814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 для дітей з порушеннями опорно-рухового апарату (СДНЗ № 20, 118 дітей), спеціальна початкова школа для дітей з порушеннями зору (СПШ № 31, дошкільний підрозділ – 42 дитини), багатопрофільний навчально-реабілітаційний центр № 1 для дітей із складними порушеннями розвитку (БНРЦ   № 1, дошкільний підрозділ – 59 дітей), 55 груп для дітей з порушеннями мови (644 дитини), 1 група для дітей з порушеннями слуху (ДНЗ № 21, 5 дітей), 5 груп для дітей із затримкою психічного розвитку (ДНЗ № 12, 4 групи, 33 дитини; ДНЗ № 25, 1 група, 11 дітей).</w:t>
            </w:r>
          </w:p>
          <w:p w:rsidR="00FF54A3" w:rsidRPr="00814024" w:rsidRDefault="00FF54A3" w:rsidP="00407F6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У 21 закладі дошкільної освіти (ЗДО №№ 1, 12, 21, 43, ДНЗ №№ 2, 3, 6, 8, 13, 15, 16, 19, 22, 23, 29, 32, 33, 36, 40, НВК № 16, СПШ № 14) відкрито 41 інклюзивну групу, в яких виховуються 96 дітей з особливими освітніми потребами. Із них:           1 дитина має функціонально слухові труднощі, 30 дітей – навчальні труднощі,          2 дитини – фізичні труднощі, 1 дитина – мовленнєві труднощі, 62 дитини – </w:t>
            </w:r>
            <w:proofErr w:type="spellStart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>соціоадаптаційні</w:t>
            </w:r>
            <w:proofErr w:type="spellEnd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/соціокультурні труднощі. </w:t>
            </w:r>
          </w:p>
          <w:p w:rsidR="00FF54A3" w:rsidRPr="00814024" w:rsidRDefault="00FF54A3" w:rsidP="00407F6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Мережа інклюзивних груп зростає з кожним роком: 2020 рік – 13 груп, 2021 – 21 </w:t>
            </w:r>
            <w:r w:rsidRPr="00814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група, 2022 – 23 групи, 2023 – 41 група.</w:t>
            </w:r>
          </w:p>
          <w:p w:rsidR="00FF54A3" w:rsidRPr="00814024" w:rsidRDefault="00FF54A3" w:rsidP="00407F6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З метою забезпечення кваліфікованої допомоги в засвоєнні навчального матеріалу дітям з особливими освітніми потребами в інклюзивних групах у штатні розписи закладів дошкільної освіти введено 41 посаду асистента вихователя для здійснення супроводу дітей з особливими освітніми потребами. Усі асистенти мають вищу педагогічну освіту.  </w:t>
            </w:r>
          </w:p>
          <w:p w:rsidR="00FF54A3" w:rsidRPr="00814024" w:rsidRDefault="00FF54A3" w:rsidP="00407F6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Для забезпечення безперешкодного доступу до будівель та приміщень дітей з особливими освітніми потребами </w:t>
            </w:r>
            <w:r w:rsidRPr="00814024">
              <w:rPr>
                <w:rFonts w:ascii="Times New Roman" w:hAnsi="Times New Roman" w:cs="Times New Roman"/>
                <w:bCs/>
                <w:sz w:val="20"/>
                <w:szCs w:val="20"/>
              </w:rPr>
              <w:t>у ДНЗ №№ 8, 22, СПШ № 14 облаштовані пандуси,</w:t>
            </w: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 у НВК № 16 є пандус, на сходах встановлені поручні, наявна туалетна кімната, пристосована для </w:t>
            </w:r>
            <w:proofErr w:type="spellStart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>маломобільних</w:t>
            </w:r>
            <w:proofErr w:type="spellEnd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 дітей, </w:t>
            </w:r>
            <w:r w:rsidRPr="00814024">
              <w:rPr>
                <w:rFonts w:ascii="Times New Roman" w:hAnsi="Times New Roman" w:cs="Times New Roman"/>
                <w:bCs/>
                <w:sz w:val="20"/>
                <w:szCs w:val="20"/>
              </w:rPr>
              <w:t>функціонує перший в Сумській області  ліфт для дітей з порушеннями опорно-рухового апарату. У кожному закладі освіти наявні кнопки виклику, контрастні обмежувальні смуги на сходах, інформаційні вказівники.</w:t>
            </w:r>
          </w:p>
          <w:p w:rsidR="00FF54A3" w:rsidRPr="00814024" w:rsidRDefault="00FF54A3" w:rsidP="00407F6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bidi="uk-UA"/>
              </w:rPr>
            </w:pP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З метою формування ефективного інклюзивного освітнього середовища для дітей з особливими освітніми потребами у закладах освіти, в </w:t>
            </w:r>
            <w:r w:rsidRPr="00814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яких відкриті інклюзивні групи, функціонують кабінети психологічного розвантаження, ресурсні кімнати, </w:t>
            </w:r>
            <w:proofErr w:type="spellStart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>медіатеки</w:t>
            </w:r>
            <w:proofErr w:type="spellEnd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F54A3" w:rsidRPr="00814024" w:rsidRDefault="00FF54A3" w:rsidP="00407F6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>До проведення психолого-педагогічних і корекційно-</w:t>
            </w:r>
            <w:proofErr w:type="spellStart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>розвиткових</w:t>
            </w:r>
            <w:proofErr w:type="spellEnd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 занять з дітьми інклюзивних груп залучені фахівці з відповідною вищою фаховою освітою: 26 вчителів-логопедів, 15 вчителів-дефектологів, 3 вчителя-</w:t>
            </w:r>
            <w:proofErr w:type="spellStart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>реабілітолога</w:t>
            </w:r>
            <w:proofErr w:type="spellEnd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, 22 практичних психологи, які надають послуги з корекції розвитку, розвитку мовлення, </w:t>
            </w:r>
            <w:proofErr w:type="spellStart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>логоритміки</w:t>
            </w:r>
            <w:proofErr w:type="spellEnd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, лікувальної фізкультури. </w:t>
            </w:r>
          </w:p>
          <w:p w:rsidR="00FF54A3" w:rsidRPr="00814024" w:rsidRDefault="00FF54A3" w:rsidP="00407F6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>У  закладах  загальної  середньої  освіти з 01.09.2023 року в інклюзивних класах навчалося 16 учнів ІІ  рівня підтримки, 109 учнів - ІІІ рівня підтримки, 78 учнів  - І</w:t>
            </w:r>
            <w:r w:rsidRPr="00814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 рівня підтримки, 2 дітей  - </w:t>
            </w:r>
            <w:r w:rsidRPr="00814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 рівня підтримки. Значно збільшилася кількість дітей І</w:t>
            </w:r>
            <w:r w:rsidRPr="00814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 рівня підтримки та з’явилися діти, які потребують </w:t>
            </w:r>
            <w:r w:rsidRPr="00814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 рівня підтримки.</w:t>
            </w:r>
          </w:p>
          <w:p w:rsidR="00FF54A3" w:rsidRPr="00814024" w:rsidRDefault="00FF54A3" w:rsidP="00407F6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Із   загальної   кількості    учнів   6  мали   функціонально-мовленнєві,                     4 - функціональні зорові, 3 - функціонально слухові, 118 –  навчальні, 24 –  фізичні,  27 – інтелектуальні, 23 дитини – </w:t>
            </w:r>
            <w:proofErr w:type="spellStart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>соціо</w:t>
            </w:r>
            <w:proofErr w:type="spellEnd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>-адаптаційні труднощі.</w:t>
            </w:r>
          </w:p>
          <w:p w:rsidR="00FF54A3" w:rsidRPr="00814024" w:rsidRDefault="00FF54A3" w:rsidP="00407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 метою забезпечення </w:t>
            </w:r>
            <w:r w:rsidRPr="00814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кваліфікованої допомоги в засвоєнні навчального матеріалу учнями з особливими освітніми потребами в інклюзивних класах у штатні розписи закладів введено 133 посади асистента вчителя, створено та затверджено команди психолого-педагогічного супроводу для учнів, забезпечено чіткий розподіл обов’язків кожного із її членів, розроблені індивідуальні програми розвитку для дітей з ООП.</w:t>
            </w:r>
          </w:p>
          <w:p w:rsidR="00FF54A3" w:rsidRPr="00814024" w:rsidRDefault="00FF54A3" w:rsidP="00407F6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Корекційно-розвиткові та психолого-педагогічні заняття проводяться спеціалістами (вчителями-дефектологами, вчителями-логопедами, практичними психологами, </w:t>
            </w:r>
            <w:proofErr w:type="spellStart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>реабілітологами</w:t>
            </w:r>
            <w:proofErr w:type="spellEnd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>) відповідно до рівня підтримки та індивідуальної програми розвитку, в основному в очному режим, у супроводі батьків. Корекційно-розвиткові заняття проводилися педагогами, які мають спеціальну освіту та працюють на основі цивільно-правових угод.</w:t>
            </w:r>
          </w:p>
          <w:p w:rsidR="00FF54A3" w:rsidRPr="00814024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BF3486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ефективного, доступного освітнього </w:t>
            </w:r>
            <w:r w:rsidRPr="00BF3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середовища, спрямованого на розвиток дитини, її талантів, розумових і фізичних здібностей; забезпечення доступу до якісної освіти дітей з особливими освітніми потребами (оперативна ціль В.4 «Вдосконалення умов для надання якісних та конкурентоздатних освітніх та культурних послуг, в тому числі недержавних» Стратегії розвитку міста Суми до 2030 року)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Коштів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потребує</w:t>
            </w:r>
          </w:p>
        </w:tc>
        <w:tc>
          <w:tcPr>
            <w:tcW w:w="98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BF3486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3.1. Забезпечення якісною освітою та освітньою інфраструктурою всіх учасників освітнього процесу, соціалізація та адаптація осіб з особливими освітніми потребами </w:t>
            </w:r>
          </w:p>
          <w:p w:rsidR="00FF54A3" w:rsidRPr="00C36AB4" w:rsidRDefault="00FF54A3" w:rsidP="00407F6E">
            <w:pPr>
              <w:pStyle w:val="Style1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C36AB4" w:rsidRDefault="00FF54A3" w:rsidP="00407F6E">
            <w:pPr>
              <w:pStyle w:val="Style1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BF3486"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>2</w:t>
            </w:r>
            <w:r w:rsidRPr="00BF3486">
              <w:rPr>
                <w:sz w:val="20"/>
                <w:szCs w:val="20"/>
                <w:lang w:val="uk-UA"/>
              </w:rPr>
              <w:t xml:space="preserve">. </w:t>
            </w:r>
            <w:r w:rsidRPr="006237E5">
              <w:rPr>
                <w:sz w:val="20"/>
                <w:szCs w:val="20"/>
                <w:lang w:val="uk-UA"/>
              </w:rPr>
              <w:t xml:space="preserve">Сприяння розвитку учнівського самоврядування, дитячого громадського руху, пошук нових форм, методів і </w:t>
            </w:r>
            <w:r w:rsidRPr="006237E5">
              <w:rPr>
                <w:sz w:val="20"/>
                <w:szCs w:val="20"/>
                <w:lang w:val="uk-UA"/>
              </w:rPr>
              <w:lastRenderedPageBreak/>
              <w:t>моделей його організації</w:t>
            </w:r>
            <w:r w:rsidRPr="00C36AB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6237E5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37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політики запобігання проявів радикалізму, расизму, ксенофобії та інших форм екстремізму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 w:val="restart"/>
            <w:tcBorders>
              <w:right w:val="single" w:sz="8" w:space="0" w:color="000000"/>
            </w:tcBorders>
          </w:tcPr>
          <w:p w:rsidR="00FF54A3" w:rsidRPr="00814024" w:rsidRDefault="00FF54A3" w:rsidP="00407F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          З метою удосконалення роботи з дітьми по запобіганню проявів радикалізму, расизму, ксенофобії та інших форм екстремізму у закладах освіти проведено 523 виховних заходи відповідної тематики. </w:t>
            </w:r>
          </w:p>
          <w:p w:rsidR="00FF54A3" w:rsidRPr="00814024" w:rsidRDefault="00FF54A3" w:rsidP="00407F6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C36AB4" w:rsidRDefault="00FF54A3" w:rsidP="00407F6E">
            <w:pPr>
              <w:pStyle w:val="Style1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BF3486">
              <w:rPr>
                <w:sz w:val="20"/>
                <w:szCs w:val="20"/>
                <w:lang w:val="uk-UA"/>
              </w:rPr>
              <w:t xml:space="preserve">.1. </w:t>
            </w:r>
            <w:r w:rsidRPr="00795AB5">
              <w:rPr>
                <w:sz w:val="20"/>
                <w:szCs w:val="20"/>
                <w:lang w:val="uk-UA"/>
              </w:rPr>
              <w:t>Проведення комплексних заходів по запобіганню у дітей проявів радикалізму, расизму, ксенофобії та інших форм екстремізму</w:t>
            </w:r>
            <w:r w:rsidRPr="00C36AB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795AB5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рівня обізнаності усіх учасників освітнього процесу з питань безпеки дітей в інформаційному просторі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 w:val="restart"/>
            <w:tcBorders>
              <w:right w:val="single" w:sz="8" w:space="0" w:color="000000"/>
            </w:tcBorders>
          </w:tcPr>
          <w:p w:rsidR="00FF54A3" w:rsidRPr="00814024" w:rsidRDefault="00FF54A3" w:rsidP="00407F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З метою підвищення рівня цифрової грамотності учасників освітнього процесу проведено ряд тренінгів для педагогічних працівників закладів освіти «Безпечно-небезпечний Інтернет» за співпраці Центру професійного розвитку педагогічних працівників Сумської міської ради, «Клініки дружньої до молоді» КНП «Дитяча клінічна лікарня Святої Зінаїди» та відділу протидії кіберзлочинності в Сумській області департаменту </w:t>
            </w:r>
            <w:proofErr w:type="spellStart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>кіберполіції</w:t>
            </w:r>
            <w:proofErr w:type="spellEnd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 Національної поліції України. </w:t>
            </w:r>
          </w:p>
          <w:p w:rsidR="00FF54A3" w:rsidRPr="00814024" w:rsidRDefault="00FF54A3" w:rsidP="00407F6E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батьків та учнів розроблено та поширено пам’ятки щодо безпеки в мережі Інтернет та покрокова інструкція щодо встановлення в </w:t>
            </w:r>
            <w:proofErr w:type="spellStart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>гаджетах</w:t>
            </w:r>
            <w:proofErr w:type="spellEnd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 «Батьківського контролю».</w:t>
            </w:r>
          </w:p>
          <w:p w:rsidR="00FF54A3" w:rsidRPr="00814024" w:rsidRDefault="00FF54A3" w:rsidP="00407F6E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У 32 школах відбулися зустрічі учнів та педагогів зі старшим інспектором з особливих доручень ВПК в Сумській області Департаменту </w:t>
            </w:r>
            <w:proofErr w:type="spellStart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>кіберполіції</w:t>
            </w:r>
            <w:proofErr w:type="spellEnd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 Національної поліції України </w:t>
            </w:r>
            <w:proofErr w:type="spellStart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>Бухтіаровим</w:t>
            </w:r>
            <w:proofErr w:type="spellEnd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 А.Г. Під час зустрічей було повторно презентовано електронну платформу «MRIYA», що розроблена для протидії російській пропаганді та проросійським ресурсам у мережі Інтернет, надано пам’ятки.</w:t>
            </w:r>
          </w:p>
          <w:p w:rsidR="00FF54A3" w:rsidRPr="00814024" w:rsidRDefault="00FF54A3" w:rsidP="00407F6E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Триває впровадження у закладах загальної середньої освіти </w:t>
            </w:r>
            <w:proofErr w:type="spellStart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814024">
              <w:rPr>
                <w:rFonts w:ascii="Times New Roman" w:hAnsi="Times New Roman" w:cs="Times New Roman"/>
                <w:sz w:val="20"/>
                <w:szCs w:val="20"/>
              </w:rPr>
              <w:t xml:space="preserve"> «Шкільний офіцер поліції», у рамках якого здійснюється системна інформаційно-просвітницька робота з учнями та батьками щодо правил дорожнього руху, безконфліктної поведінки, відповідальності за правопорушення, безпечної поведінки в Інтернеті, протидії насильству. Просвітницькі відеоролики надано закладам освіти та розміщено на офіційному </w:t>
            </w:r>
            <w:proofErr w:type="spellStart"/>
            <w:r w:rsidRPr="008140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YouTube</w:t>
            </w:r>
            <w:proofErr w:type="spellEnd"/>
            <w:r w:rsidRPr="008140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- </w:t>
            </w:r>
            <w:r w:rsidRPr="00814024">
              <w:rPr>
                <w:rStyle w:val="ab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каналі</w:t>
            </w:r>
            <w:r w:rsidRPr="008140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управління освіти і науки Сумської міської ради.</w:t>
            </w:r>
          </w:p>
          <w:p w:rsidR="00FF54A3" w:rsidRPr="00814024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795AB5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5.1. Проведення інформаційно-роз’яснювальної роботи з усіма учасниками освітнього процесу з питань безпеки дітей в інформаційному просторі (ризики в мережі Інтернет, небезпечні соціальні спільноти)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841A45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3B0271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02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сприятливих умов для творчого, інтелектуального та духовного розвитку особистості</w:t>
            </w:r>
          </w:p>
          <w:p w:rsidR="00FF54A3" w:rsidRPr="006237E5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 w:val="restart"/>
            <w:tcBorders>
              <w:right w:val="single" w:sz="8" w:space="0" w:color="000000"/>
            </w:tcBorders>
          </w:tcPr>
          <w:p w:rsidR="00FF54A3" w:rsidRPr="00A337EA" w:rsidRDefault="00FF54A3" w:rsidP="00407F6E">
            <w:pPr>
              <w:ind w:firstLine="5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EA">
              <w:rPr>
                <w:rFonts w:ascii="Times New Roman" w:hAnsi="Times New Roman" w:cs="Times New Roman"/>
                <w:sz w:val="20"/>
                <w:szCs w:val="20"/>
              </w:rPr>
              <w:t xml:space="preserve">У підпорядкуванні відділу культури Сумської міської ради знаходяться </w:t>
            </w:r>
            <w:r w:rsidRPr="00A337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 мистецьких шкіл, чотири музичні школи та одна художня школа </w:t>
            </w:r>
            <w:r w:rsidRPr="00A337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ім. М.Г. Лисенка. </w:t>
            </w:r>
          </w:p>
          <w:p w:rsidR="00FF54A3" w:rsidRPr="00A337EA" w:rsidRDefault="00FF54A3" w:rsidP="00407F6E">
            <w:pPr>
              <w:ind w:firstLine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EA">
              <w:rPr>
                <w:rFonts w:ascii="Times New Roman" w:hAnsi="Times New Roman" w:cs="Times New Roman"/>
                <w:sz w:val="20"/>
                <w:szCs w:val="20"/>
              </w:rPr>
              <w:t xml:space="preserve">У музичних школах працюють такі відділи: фортепіанний, оркестровий (скрипка, віолончель, флейта, кларнет, фагот, саксофон), вокальний, хоровий, музично-теоретичний, відділ народних інструментів, театральне відділення (ДМШ № 3), естрадний відділ (ДМШ № 4). </w:t>
            </w:r>
          </w:p>
          <w:p w:rsidR="00FF54A3" w:rsidRPr="00A337EA" w:rsidRDefault="00FF54A3" w:rsidP="00407F6E">
            <w:pPr>
              <w:ind w:firstLine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EA">
              <w:rPr>
                <w:rFonts w:ascii="Times New Roman" w:hAnsi="Times New Roman" w:cs="Times New Roman"/>
                <w:sz w:val="20"/>
                <w:szCs w:val="20"/>
              </w:rPr>
              <w:t xml:space="preserve">  У художній школі працюють такі відділи – станковий, </w:t>
            </w:r>
            <w:proofErr w:type="spellStart"/>
            <w:r w:rsidRPr="00A337EA">
              <w:rPr>
                <w:rFonts w:ascii="Times New Roman" w:hAnsi="Times New Roman" w:cs="Times New Roman"/>
                <w:sz w:val="20"/>
                <w:szCs w:val="20"/>
              </w:rPr>
              <w:t>декоративно</w:t>
            </w:r>
            <w:proofErr w:type="spellEnd"/>
            <w:r w:rsidRPr="00A337EA">
              <w:rPr>
                <w:rFonts w:ascii="Times New Roman" w:hAnsi="Times New Roman" w:cs="Times New Roman"/>
                <w:sz w:val="20"/>
                <w:szCs w:val="20"/>
              </w:rPr>
              <w:t>-ужитковий та відділ дизайну.</w:t>
            </w:r>
          </w:p>
          <w:p w:rsidR="00FF54A3" w:rsidRPr="00A337EA" w:rsidRDefault="00FF54A3" w:rsidP="00407F6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EA">
              <w:rPr>
                <w:rFonts w:ascii="Times New Roman" w:hAnsi="Times New Roman" w:cs="Times New Roman"/>
                <w:sz w:val="20"/>
                <w:szCs w:val="20"/>
              </w:rPr>
              <w:t xml:space="preserve">У мистецьких школах міста є в наявності достатня кількість різноманітних творчих учнівських колективів. Це: хори молодших, середніх, старших класів; оркестри народних інструментів; ансамбль домристів, бандуристів, духових інструментів, ансамбль скрипалів. Творчі колективи шкіл беруть активну участь у культурно-мистецькому житі міста, області та країни в цілому. Значна увага приділяється і </w:t>
            </w:r>
            <w:r w:rsidRPr="00A33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благодійним та шефським концертам, які проходять у бібліотеках міста, закладах освіти, на підприємствах та організаціях міста і Сумської області.  </w:t>
            </w:r>
          </w:p>
          <w:p w:rsidR="00FF54A3" w:rsidRPr="00A337EA" w:rsidRDefault="00FF54A3" w:rsidP="00407F6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C36AB4" w:rsidRDefault="00FF54A3" w:rsidP="00407F6E">
            <w:pPr>
              <w:pStyle w:val="Style1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BF3486">
              <w:rPr>
                <w:sz w:val="20"/>
                <w:szCs w:val="20"/>
                <w:lang w:val="uk-UA"/>
              </w:rPr>
              <w:t xml:space="preserve">.1. </w:t>
            </w:r>
            <w:r w:rsidRPr="003B0271">
              <w:rPr>
                <w:sz w:val="20"/>
                <w:szCs w:val="20"/>
                <w:lang w:val="uk-UA"/>
              </w:rPr>
              <w:t>Збереження діючої мережі мистецьких шкіл міста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3B0271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02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Залучення дітей до мистецької освіти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 w:val="restart"/>
            <w:tcBorders>
              <w:right w:val="single" w:sz="8" w:space="0" w:color="000000"/>
            </w:tcBorders>
          </w:tcPr>
          <w:p w:rsidR="00FF54A3" w:rsidRPr="00A337EA" w:rsidRDefault="00FF54A3" w:rsidP="00407F6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EA">
              <w:rPr>
                <w:rFonts w:ascii="Times New Roman" w:hAnsi="Times New Roman" w:cs="Times New Roman"/>
                <w:sz w:val="20"/>
                <w:szCs w:val="20"/>
              </w:rPr>
              <w:t>Єдиною умовою для навчання у мистецьких школах є наявність творчих здібностей відповідного напрямку.</w:t>
            </w:r>
          </w:p>
          <w:p w:rsidR="00FF54A3" w:rsidRPr="00A337EA" w:rsidRDefault="00FF54A3" w:rsidP="00407F6E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EA">
              <w:rPr>
                <w:rFonts w:ascii="Times New Roman" w:hAnsi="Times New Roman" w:cs="Times New Roman"/>
                <w:sz w:val="20"/>
                <w:szCs w:val="20"/>
              </w:rPr>
              <w:t xml:space="preserve">Рівень освітніх послуг, які надаються мистецькими школами, залишився стабільно високим. Контингент учнів вдалося стабілізувати. Він становить 1657 </w:t>
            </w:r>
            <w:proofErr w:type="spellStart"/>
            <w:r w:rsidRPr="00A337EA">
              <w:rPr>
                <w:rFonts w:ascii="Times New Roman" w:hAnsi="Times New Roman" w:cs="Times New Roman"/>
                <w:sz w:val="20"/>
                <w:szCs w:val="20"/>
              </w:rPr>
              <w:t>чол</w:t>
            </w:r>
            <w:proofErr w:type="spellEnd"/>
            <w:r w:rsidRPr="00A33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4A3" w:rsidRPr="00A337EA" w:rsidRDefault="00FF54A3" w:rsidP="00407F6E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EA">
              <w:rPr>
                <w:rFonts w:ascii="Times New Roman" w:hAnsi="Times New Roman" w:cs="Times New Roman"/>
                <w:sz w:val="20"/>
                <w:szCs w:val="20"/>
              </w:rPr>
              <w:t xml:space="preserve">Показники активності участі вихованців мистецьких шкіл у конкурсних заходах у 2023 році зросли майже в два рази. – маємо 703 учасника та 684 переможця. Результативність -97,1 %. </w:t>
            </w:r>
          </w:p>
          <w:p w:rsidR="00FF54A3" w:rsidRPr="00A337EA" w:rsidRDefault="00FF54A3" w:rsidP="00407F6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EA">
              <w:rPr>
                <w:rFonts w:ascii="Times New Roman" w:hAnsi="Times New Roman" w:cs="Times New Roman"/>
                <w:sz w:val="20"/>
                <w:szCs w:val="20"/>
              </w:rPr>
              <w:t xml:space="preserve">Серед </w:t>
            </w:r>
            <w:proofErr w:type="spellStart"/>
            <w:r w:rsidRPr="00A337EA">
              <w:rPr>
                <w:rFonts w:ascii="Times New Roman" w:hAnsi="Times New Roman" w:cs="Times New Roman"/>
                <w:sz w:val="20"/>
                <w:szCs w:val="20"/>
              </w:rPr>
              <w:t>перемог</w:t>
            </w:r>
            <w:proofErr w:type="spellEnd"/>
            <w:r w:rsidRPr="00A337EA">
              <w:rPr>
                <w:rFonts w:ascii="Times New Roman" w:hAnsi="Times New Roman" w:cs="Times New Roman"/>
                <w:sz w:val="20"/>
                <w:szCs w:val="20"/>
              </w:rPr>
              <w:t xml:space="preserve"> юних сумчан– Гран-Прі в міжнародних конкурсах Грузії, Канади, Болгарії та Хорватії; І-</w:t>
            </w:r>
            <w:proofErr w:type="spellStart"/>
            <w:r w:rsidRPr="00A337EA">
              <w:rPr>
                <w:rFonts w:ascii="Times New Roman" w:hAnsi="Times New Roman" w:cs="Times New Roman"/>
                <w:sz w:val="20"/>
                <w:szCs w:val="20"/>
              </w:rPr>
              <w:t>ші</w:t>
            </w:r>
            <w:proofErr w:type="spellEnd"/>
            <w:r w:rsidRPr="00A337EA">
              <w:rPr>
                <w:rFonts w:ascii="Times New Roman" w:hAnsi="Times New Roman" w:cs="Times New Roman"/>
                <w:sz w:val="20"/>
                <w:szCs w:val="20"/>
              </w:rPr>
              <w:t xml:space="preserve"> та ІІ-</w:t>
            </w:r>
            <w:proofErr w:type="spellStart"/>
            <w:r w:rsidRPr="00A337EA">
              <w:rPr>
                <w:rFonts w:ascii="Times New Roman" w:hAnsi="Times New Roman" w:cs="Times New Roman"/>
                <w:sz w:val="20"/>
                <w:szCs w:val="20"/>
              </w:rPr>
              <w:t>гі</w:t>
            </w:r>
            <w:proofErr w:type="spellEnd"/>
            <w:r w:rsidRPr="00A337EA">
              <w:rPr>
                <w:rFonts w:ascii="Times New Roman" w:hAnsi="Times New Roman" w:cs="Times New Roman"/>
                <w:sz w:val="20"/>
                <w:szCs w:val="20"/>
              </w:rPr>
              <w:t xml:space="preserve"> місця у міжнародних конкурсах в Польщі, Туреччині, Чехії, Болгарії, Італії, Австрії, Великій Британії, Канаді, Словенії, США. </w:t>
            </w:r>
          </w:p>
          <w:p w:rsidR="00FF54A3" w:rsidRPr="00A337EA" w:rsidRDefault="00FF54A3" w:rsidP="00407F6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EA">
              <w:rPr>
                <w:rFonts w:ascii="Times New Roman" w:hAnsi="Times New Roman" w:cs="Times New Roman"/>
                <w:sz w:val="20"/>
                <w:szCs w:val="20"/>
              </w:rPr>
              <w:t xml:space="preserve">За кошти бюджету Сумської міської територіальної громади у 2023 </w:t>
            </w:r>
            <w:r w:rsidRPr="00A33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року участь дітей у конкурсних заходах не відбувалась</w:t>
            </w:r>
          </w:p>
          <w:p w:rsidR="00FF54A3" w:rsidRPr="00A337EA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C36AB4" w:rsidRDefault="00FF54A3" w:rsidP="00407F6E">
            <w:pPr>
              <w:pStyle w:val="Style1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BF3486">
              <w:rPr>
                <w:sz w:val="20"/>
                <w:szCs w:val="20"/>
                <w:lang w:val="uk-UA"/>
              </w:rPr>
              <w:t xml:space="preserve">.1. </w:t>
            </w:r>
            <w:r w:rsidRPr="00F43A99">
              <w:rPr>
                <w:sz w:val="20"/>
                <w:szCs w:val="20"/>
                <w:lang w:val="uk-UA"/>
              </w:rPr>
              <w:t>Збереження та збільшення контингенту учнів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F43A99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A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Підтримка творчої ініціативи учнів мистецьких шкіл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 w:val="restart"/>
            <w:tcBorders>
              <w:right w:val="single" w:sz="8" w:space="0" w:color="000000"/>
            </w:tcBorders>
          </w:tcPr>
          <w:p w:rsidR="00FF54A3" w:rsidRPr="00A337EA" w:rsidRDefault="00FF54A3" w:rsidP="00407F6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37EA">
              <w:rPr>
                <w:rFonts w:ascii="Times New Roman" w:hAnsi="Times New Roman" w:cs="Times New Roman"/>
                <w:sz w:val="20"/>
                <w:szCs w:val="20"/>
              </w:rPr>
              <w:t xml:space="preserve">Заслуговують на увагу і інші досягнення юних сумчан. Так, </w:t>
            </w:r>
            <w:r w:rsidRPr="00A337E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учень Сумської дитячої музичної школи №4 </w:t>
            </w:r>
            <w:r w:rsidRPr="00A33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Денис </w:t>
            </w:r>
            <w:proofErr w:type="spellStart"/>
            <w:r w:rsidRPr="00A33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Старосельський</w:t>
            </w:r>
            <w:proofErr w:type="spellEnd"/>
            <w:r w:rsidRPr="00A33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337E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став учасником благодійного концерту в місті </w:t>
            </w:r>
            <w:proofErr w:type="spellStart"/>
            <w:r w:rsidRPr="00A337E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Гауда</w:t>
            </w:r>
            <w:proofErr w:type="spellEnd"/>
            <w:r w:rsidRPr="00A337E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 Нідерланди.</w:t>
            </w:r>
            <w:r w:rsidRPr="00A33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Вперше у </w:t>
            </w:r>
            <w:proofErr w:type="spellStart"/>
            <w:r w:rsidRPr="00A33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Гауді</w:t>
            </w:r>
            <w:proofErr w:type="spellEnd"/>
            <w:r w:rsidRPr="00A33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прозвучав Гімн України на органі.</w:t>
            </w:r>
          </w:p>
          <w:p w:rsidR="00FF54A3" w:rsidRPr="00A337EA" w:rsidRDefault="00FF54A3" w:rsidP="00407F6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3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 2023 році відбулась </w:t>
            </w:r>
            <w:r w:rsidRPr="00A337E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презентація творчих робіт учнів Сумської дитячої художньої школи ім. М. Г. Лисенка на міжнародній виставці, присвяченій війні в Україні, в м. Люблін (Польща) У </w:t>
            </w:r>
            <w:r w:rsidRPr="00A33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приміщенні Сумського обласного художнього музею ім. Н. </w:t>
            </w:r>
            <w:proofErr w:type="spellStart"/>
            <w:r w:rsidRPr="00A33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Онацького</w:t>
            </w:r>
            <w:proofErr w:type="spellEnd"/>
            <w:r w:rsidRPr="00A33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відбувся благодійний мистецький марафон «</w:t>
            </w:r>
            <w:proofErr w:type="spellStart"/>
            <w:r w:rsidRPr="00A33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Вистоїмо</w:t>
            </w:r>
            <w:proofErr w:type="spellEnd"/>
            <w:r w:rsidRPr="00A33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! Допоможемо! Переможемо!» та цикл майстер-класів викладачів ДХШ ім. М. Г. Лисенка.</w:t>
            </w:r>
          </w:p>
          <w:p w:rsidR="00FF54A3" w:rsidRPr="00A337EA" w:rsidRDefault="00FF54A3" w:rsidP="00407F6E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EA">
              <w:rPr>
                <w:rFonts w:ascii="Times New Roman" w:hAnsi="Times New Roman" w:cs="Times New Roman"/>
                <w:sz w:val="20"/>
                <w:szCs w:val="20"/>
              </w:rPr>
              <w:t>35 випускників сумських мистецьких шкіл продовжили здобувати фахову освіту у вищих навчальних закладах України.</w:t>
            </w:r>
          </w:p>
          <w:p w:rsidR="00FF54A3" w:rsidRPr="00A337EA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C36AB4" w:rsidRDefault="00FF54A3" w:rsidP="00407F6E">
            <w:pPr>
              <w:pStyle w:val="Style1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Pr="00BF3486">
              <w:rPr>
                <w:sz w:val="20"/>
                <w:szCs w:val="20"/>
                <w:lang w:val="uk-UA"/>
              </w:rPr>
              <w:t xml:space="preserve">.1. </w:t>
            </w:r>
            <w:r w:rsidRPr="00F43A99">
              <w:rPr>
                <w:sz w:val="20"/>
                <w:szCs w:val="20"/>
                <w:lang w:val="uk-UA"/>
              </w:rPr>
              <w:t>Підготовка учнів шкіл до участі у міжнародних, всеукраїнських, обласних та міських фестивалях, конкурсах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F43A99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A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Забезпечити пільгове та безкоштовне навчання у мистецьких школах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 w:val="restart"/>
            <w:tcBorders>
              <w:right w:val="single" w:sz="8" w:space="0" w:color="000000"/>
            </w:tcBorders>
          </w:tcPr>
          <w:p w:rsidR="00FF54A3" w:rsidRPr="003B2906" w:rsidRDefault="00FF54A3" w:rsidP="00407F6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906">
              <w:rPr>
                <w:rFonts w:ascii="Times New Roman" w:hAnsi="Times New Roman" w:cs="Times New Roman"/>
                <w:sz w:val="20"/>
                <w:szCs w:val="20"/>
              </w:rPr>
              <w:t>Відповідно до  рішення Виконавчого комітету Сумської міської ради від 24.09.2021 № 577 «Про Порядок встановлення розміру плати за навчання у мистецьких школах Сумської міської територіальної громади, підпорядкованих відділу культури Сумської міської ради» у 2023 – 2024 навчальному році від оплати за навчання звільнено 139 учнів, батьки яких є (були) учасниками бойових дій.</w:t>
            </w:r>
          </w:p>
          <w:p w:rsidR="00FF54A3" w:rsidRPr="003B2906" w:rsidRDefault="00FF54A3" w:rsidP="00407F6E">
            <w:pPr>
              <w:ind w:right="-2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906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Закону України «Про позашкільну освіту» діти із багатодітних сімей, діти із малозабезпечених сімей, діти з інвалідністю, діти-сироти і діти, позбавлені батьківського піклування, повністю звільняються від оплати за навчання у мистецьких школах – 302 учня. </w:t>
            </w:r>
          </w:p>
          <w:p w:rsidR="00FF54A3" w:rsidRPr="003B2906" w:rsidRDefault="00FF54A3" w:rsidP="00407F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906">
              <w:rPr>
                <w:rFonts w:ascii="Times New Roman" w:hAnsi="Times New Roman" w:cs="Times New Roman"/>
                <w:sz w:val="20"/>
                <w:szCs w:val="20"/>
              </w:rPr>
              <w:t xml:space="preserve">          Усього від оплати за навчання у мистецьких школах  звільнено 441 учня.</w:t>
            </w:r>
          </w:p>
          <w:p w:rsidR="00FF54A3" w:rsidRPr="003B2906" w:rsidRDefault="00FF54A3" w:rsidP="00407F6E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906">
              <w:rPr>
                <w:rFonts w:ascii="Times New Roman" w:hAnsi="Times New Roman" w:cs="Times New Roman"/>
                <w:sz w:val="20"/>
                <w:szCs w:val="20"/>
              </w:rPr>
              <w:t>Учні мистецьких шкіл звільняються від оплати за навчання на початку навчального року.</w:t>
            </w:r>
          </w:p>
          <w:p w:rsidR="00FF54A3" w:rsidRPr="003B2906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F43A99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A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9.1. Звільнення від оплати за навчання багатодітних сімей, дітей із малозабезпечених сімей, дітей-інвалідів, дітей-сиріт та дітей, позбавлених батьківського піклування, а також дітей, батьки яких є (були) учасниками проведення антитерористичної операції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F43A99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A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9.2. Звільнення від оплати за навчання особливо обдарованих дітей переможців міжнародних, всеукраїнських, міжрегіональних та обласних конкурсів, фестивалів, виставок у межах двох відсотків від загального контингенту учнів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C42693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Виявлення та підтримка сімей, які  опинилися в складних життєвих обставинах </w:t>
            </w:r>
          </w:p>
          <w:p w:rsidR="00FF54A3" w:rsidRPr="00F43A99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F43A99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F43A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.1. </w:t>
            </w:r>
            <w:r w:rsidRPr="00C42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</w:t>
            </w:r>
            <w:proofErr w:type="spellStart"/>
            <w:r w:rsidRPr="00C42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просвітницько</w:t>
            </w:r>
            <w:proofErr w:type="spellEnd"/>
            <w:r w:rsidRPr="00C42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-профілактичної роботи з «кризовими сім’ями» забезпечення систематичних перевірок умов проживання  та виховання в них дітей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 w:val="restart"/>
            <w:tcBorders>
              <w:right w:val="single" w:sz="8" w:space="0" w:color="000000"/>
            </w:tcBorders>
          </w:tcPr>
          <w:p w:rsidR="00FF54A3" w:rsidRPr="001D2B75" w:rsidRDefault="00FF54A3" w:rsidP="00407F6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75">
              <w:rPr>
                <w:rFonts w:ascii="Times New Roman" w:hAnsi="Times New Roman" w:cs="Times New Roman"/>
                <w:sz w:val="20"/>
                <w:szCs w:val="20"/>
              </w:rPr>
              <w:t>В Управлінні протягом 2023 року на обліку дітей, які опинились у складних життєвих обставинах, перебувало 86 дітей. Знято з обліку 49 дітей, із них: досягнення повноліття – 3 дитини, припинення підстав узяття дітей на облік – 43 дитини, 3 дитини – зміна місця проживання та взяття їх на облік за новим місцем проживання.</w:t>
            </w:r>
          </w:p>
          <w:p w:rsidR="00FF54A3" w:rsidRPr="001D2B75" w:rsidRDefault="00FF54A3" w:rsidP="00407F6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75">
              <w:rPr>
                <w:rFonts w:ascii="Times New Roman" w:hAnsi="Times New Roman" w:cs="Times New Roman"/>
                <w:sz w:val="20"/>
                <w:szCs w:val="20"/>
              </w:rPr>
              <w:t xml:space="preserve"> На кінець звітного періоду на обліку перебуває 37 дітей, які опинились у складних життєвих обставинах.</w:t>
            </w:r>
          </w:p>
          <w:p w:rsidR="00FF54A3" w:rsidRPr="001D2B75" w:rsidRDefault="00FF54A3" w:rsidP="00407F6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75">
              <w:rPr>
                <w:rFonts w:ascii="Times New Roman" w:hAnsi="Times New Roman" w:cs="Times New Roman"/>
                <w:sz w:val="20"/>
                <w:szCs w:val="20"/>
              </w:rPr>
              <w:t xml:space="preserve">Протягом 2023 року спеціалістами Управління, з метою контролю за умовами утримання та виховання дітей, спільно з працівниками відділу охорони здоров’я, Сумського районного управління поліції ГУНП в Сумській області, Сумського міського центру соціальних служб, закладами освіти обстежено умови проживання дітей, які опинились у складних життєвих обставинах у 275 сім’ях.  </w:t>
            </w:r>
          </w:p>
          <w:p w:rsidR="00FF54A3" w:rsidRPr="001D2B75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C42693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10.2.  Організація проведення </w:t>
            </w:r>
            <w:proofErr w:type="spellStart"/>
            <w:r w:rsidRPr="00C42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оперативно</w:t>
            </w:r>
            <w:proofErr w:type="spellEnd"/>
            <w:r w:rsidRPr="00C42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-профілактичних рейдів «Сім’я», «Канікули», «Вокзал», «Діти вулиці» з метою своєчасного виявлення бездоглядних та безпритульних дітей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2"/>
          <w:wAfter w:w="17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F43A99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F43A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43A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C42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Оперативне повідомлення Управління «Служба у справах дітей», ювенальної превенції про випадки домашнього насильства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Borders>
              <w:top w:val="single" w:sz="4" w:space="0" w:color="000000"/>
              <w:left w:val="nil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right w:val="nil"/>
            </w:tcBorders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right w:val="nil"/>
            </w:tcBorders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63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  <w:vAlign w:val="center"/>
          </w:tcPr>
          <w:p w:rsidR="00FF54A3" w:rsidRPr="00F357A0" w:rsidRDefault="00FF54A3" w:rsidP="00407F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зв</w:t>
            </w:r>
            <w:r w:rsidRPr="00A853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язку з військовими діями на території області чотири дитячі будинки сімейного типу були евакуйовані за межі територіальної громади, одному будинку сімейного типу було надано матеріальну підтримку за рахунок коштів Фундації Олени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Зеленської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нового ДБСТ не було створено</w:t>
            </w:r>
          </w:p>
        </w:tc>
        <w:tc>
          <w:tcPr>
            <w:tcW w:w="850" w:type="dxa"/>
            <w:vAlign w:val="center"/>
          </w:tcPr>
          <w:p w:rsidR="00FF54A3" w:rsidRPr="005D7CC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465,1</w:t>
            </w:r>
          </w:p>
        </w:tc>
        <w:tc>
          <w:tcPr>
            <w:tcW w:w="989" w:type="dxa"/>
            <w:vAlign w:val="center"/>
          </w:tcPr>
          <w:p w:rsidR="00FF54A3" w:rsidRPr="005D7CC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407,4</w:t>
            </w:r>
          </w:p>
        </w:tc>
        <w:tc>
          <w:tcPr>
            <w:tcW w:w="999" w:type="dxa"/>
            <w:vAlign w:val="center"/>
          </w:tcPr>
          <w:p w:rsidR="00FF54A3" w:rsidRPr="003E5339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  <w:tc>
          <w:tcPr>
            <w:tcW w:w="886" w:type="dxa"/>
            <w:gridSpan w:val="2"/>
            <w:vAlign w:val="center"/>
          </w:tcPr>
          <w:p w:rsidR="00FF54A3" w:rsidRPr="005D7CC4" w:rsidRDefault="00FF54A3" w:rsidP="00A06F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  <w:r w:rsidR="00C07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A06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4" w:type="dxa"/>
            <w:vAlign w:val="center"/>
          </w:tcPr>
          <w:p w:rsidR="00FF54A3" w:rsidRPr="005D7CC4" w:rsidRDefault="00A06FEB" w:rsidP="00C071D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256,8</w:t>
            </w:r>
          </w:p>
        </w:tc>
        <w:tc>
          <w:tcPr>
            <w:tcW w:w="808" w:type="dxa"/>
            <w:gridSpan w:val="2"/>
            <w:vAlign w:val="center"/>
          </w:tcPr>
          <w:p w:rsidR="00FF54A3" w:rsidRPr="003E5339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  <w:tc>
          <w:tcPr>
            <w:tcW w:w="706" w:type="dxa"/>
            <w:vAlign w:val="center"/>
          </w:tcPr>
          <w:p w:rsidR="00FF54A3" w:rsidRPr="005D7CC4" w:rsidRDefault="00FF54A3" w:rsidP="00C071D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C07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C07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FF54A3" w:rsidRPr="005D7CC4" w:rsidRDefault="00FF54A3" w:rsidP="00C071D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</w:t>
            </w:r>
            <w:r w:rsidR="00C071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071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3" w:type="dxa"/>
            <w:gridSpan w:val="2"/>
            <w:vAlign w:val="center"/>
          </w:tcPr>
          <w:p w:rsidR="00FF54A3" w:rsidRPr="00112ADB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BB107E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сімейних форм виховання</w:t>
            </w:r>
          </w:p>
          <w:p w:rsidR="00FF54A3" w:rsidRPr="00F43A99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54A3" w:rsidRDefault="00FF54A3" w:rsidP="00407F6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ТГ</w:t>
            </w:r>
          </w:p>
        </w:tc>
        <w:tc>
          <w:tcPr>
            <w:tcW w:w="850" w:type="dxa"/>
            <w:vAlign w:val="center"/>
          </w:tcPr>
          <w:p w:rsidR="00FF54A3" w:rsidRPr="005D7CC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407,4</w:t>
            </w:r>
          </w:p>
        </w:tc>
        <w:tc>
          <w:tcPr>
            <w:tcW w:w="989" w:type="dxa"/>
            <w:vAlign w:val="center"/>
          </w:tcPr>
          <w:p w:rsidR="00FF54A3" w:rsidRPr="005D7CC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407,4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5D7CC4" w:rsidRDefault="00A06FEB" w:rsidP="00C071D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256,8</w:t>
            </w:r>
          </w:p>
        </w:tc>
        <w:tc>
          <w:tcPr>
            <w:tcW w:w="1034" w:type="dxa"/>
            <w:vAlign w:val="center"/>
          </w:tcPr>
          <w:p w:rsidR="00FF54A3" w:rsidRPr="005D7CC4" w:rsidRDefault="00A06FEB" w:rsidP="00C071D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256,8</w:t>
            </w:r>
          </w:p>
        </w:tc>
        <w:tc>
          <w:tcPr>
            <w:tcW w:w="808" w:type="dxa"/>
            <w:gridSpan w:val="2"/>
            <w:vAlign w:val="center"/>
          </w:tcPr>
          <w:p w:rsidR="00FF54A3" w:rsidRPr="003E5339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vAlign w:val="center"/>
          </w:tcPr>
          <w:p w:rsidR="00FF54A3" w:rsidRPr="005D7CC4" w:rsidRDefault="006E1272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214,1</w:t>
            </w:r>
          </w:p>
        </w:tc>
        <w:tc>
          <w:tcPr>
            <w:tcW w:w="709" w:type="dxa"/>
            <w:vAlign w:val="center"/>
          </w:tcPr>
          <w:p w:rsidR="00FF54A3" w:rsidRPr="005D7CC4" w:rsidRDefault="00FF54A3" w:rsidP="00C071D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</w:t>
            </w:r>
            <w:r w:rsidR="00C071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071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BB107E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6" w:type="dxa"/>
            <w:vMerge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54A3" w:rsidRDefault="00FF54A3" w:rsidP="00407F6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0A45">
              <w:rPr>
                <w:rFonts w:ascii="Times New Roman" w:hAnsi="Times New Roman" w:cs="Times New Roman"/>
                <w:sz w:val="20"/>
                <w:szCs w:val="20"/>
              </w:rPr>
              <w:t>інші джерела фінансування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(власні надходження)</w:t>
            </w: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57,7</w:t>
            </w: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  <w:tc>
          <w:tcPr>
            <w:tcW w:w="886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57,7</w:t>
            </w: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  <w:tc>
          <w:tcPr>
            <w:tcW w:w="706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57,7</w:t>
            </w: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81,6</w:t>
            </w:r>
          </w:p>
        </w:tc>
        <w:tc>
          <w:tcPr>
            <w:tcW w:w="98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23,9</w:t>
            </w:r>
          </w:p>
        </w:tc>
        <w:tc>
          <w:tcPr>
            <w:tcW w:w="999" w:type="dxa"/>
            <w:vAlign w:val="center"/>
          </w:tcPr>
          <w:p w:rsidR="00FF54A3" w:rsidRPr="003E5339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  <w:tc>
          <w:tcPr>
            <w:tcW w:w="886" w:type="dxa"/>
            <w:gridSpan w:val="2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57,7</w:t>
            </w:r>
          </w:p>
        </w:tc>
        <w:tc>
          <w:tcPr>
            <w:tcW w:w="1034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08" w:type="dxa"/>
            <w:gridSpan w:val="2"/>
            <w:vAlign w:val="center"/>
          </w:tcPr>
          <w:p w:rsidR="00FF54A3" w:rsidRPr="003E5339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  <w:tc>
          <w:tcPr>
            <w:tcW w:w="706" w:type="dxa"/>
            <w:vAlign w:val="center"/>
          </w:tcPr>
          <w:p w:rsidR="00FF54A3" w:rsidRPr="00112AD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,7</w:t>
            </w:r>
          </w:p>
        </w:tc>
        <w:tc>
          <w:tcPr>
            <w:tcW w:w="70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053" w:type="dxa"/>
            <w:gridSpan w:val="2"/>
            <w:vAlign w:val="center"/>
          </w:tcPr>
          <w:p w:rsidR="00FF54A3" w:rsidRPr="00112ADB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F43A99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F43A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.1. </w:t>
            </w: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 побутової техніки для дитячого будинку сімейного типу</w:t>
            </w:r>
          </w:p>
        </w:tc>
        <w:tc>
          <w:tcPr>
            <w:tcW w:w="926" w:type="dxa"/>
            <w:vMerge w:val="restart"/>
          </w:tcPr>
          <w:p w:rsidR="00FF54A3" w:rsidRPr="004B527F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0913111</w:t>
            </w:r>
          </w:p>
        </w:tc>
        <w:tc>
          <w:tcPr>
            <w:tcW w:w="2841" w:type="dxa"/>
            <w:gridSpan w:val="2"/>
            <w:vMerge w:val="restart"/>
            <w:tcBorders>
              <w:right w:val="single" w:sz="8" w:space="0" w:color="000000"/>
            </w:tcBorders>
          </w:tcPr>
          <w:p w:rsidR="00FF54A3" w:rsidRPr="00F94026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Побутова техніка не придбавалася через військовий стан в країні, але завдяки підтримці ОДА був придбаний один генератор для ДБСТ 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23,9</w:t>
            </w:r>
          </w:p>
        </w:tc>
        <w:tc>
          <w:tcPr>
            <w:tcW w:w="98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23,9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034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08" w:type="dxa"/>
            <w:gridSpan w:val="2"/>
            <w:vAlign w:val="center"/>
          </w:tcPr>
          <w:p w:rsidR="00FF54A3" w:rsidRPr="003E5339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6" w:type="dxa"/>
            <w:vMerge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57,7</w:t>
            </w: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  <w:tc>
          <w:tcPr>
            <w:tcW w:w="886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57,7</w:t>
            </w: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  <w:tc>
          <w:tcPr>
            <w:tcW w:w="706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57,7</w:t>
            </w: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5,3</w:t>
            </w:r>
          </w:p>
        </w:tc>
        <w:tc>
          <w:tcPr>
            <w:tcW w:w="98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5,3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5,2</w:t>
            </w:r>
          </w:p>
        </w:tc>
        <w:tc>
          <w:tcPr>
            <w:tcW w:w="1034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5,2</w:t>
            </w: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3,0</w:t>
            </w:r>
          </w:p>
        </w:tc>
        <w:tc>
          <w:tcPr>
            <w:tcW w:w="70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BB107E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.2. Забезпечення проведення інформаційних кампаній з метою популяризації сімейних форм виховання, відповідального батьківства та ін.</w:t>
            </w:r>
          </w:p>
        </w:tc>
        <w:tc>
          <w:tcPr>
            <w:tcW w:w="926" w:type="dxa"/>
          </w:tcPr>
          <w:p w:rsidR="00FF54A3" w:rsidRPr="004B527F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0913112</w:t>
            </w: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Pr="00F94026" w:rsidRDefault="00FF54A3" w:rsidP="00407F6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F94026">
              <w:rPr>
                <w:rFonts w:ascii="Times New Roman" w:hAnsi="Times New Roman" w:cs="Times New Roman"/>
                <w:sz w:val="20"/>
                <w:szCs w:val="20"/>
              </w:rPr>
              <w:t>ротягом</w:t>
            </w:r>
            <w:proofErr w:type="spellEnd"/>
            <w:r w:rsidRPr="00F94026">
              <w:rPr>
                <w:rFonts w:ascii="Times New Roman" w:hAnsi="Times New Roman" w:cs="Times New Roman"/>
                <w:sz w:val="20"/>
                <w:szCs w:val="20"/>
              </w:rPr>
              <w:t xml:space="preserve"> року були  виготовлені 250 буклетів на проведення інформаційної компанії «Підлітковий суїцид: поведінкові прояви, основні причини, реагування». Витрачено 3,00 тис. грн.</w:t>
            </w:r>
          </w:p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5,3</w:t>
            </w:r>
          </w:p>
        </w:tc>
        <w:tc>
          <w:tcPr>
            <w:tcW w:w="98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5,3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5,2</w:t>
            </w:r>
          </w:p>
        </w:tc>
        <w:tc>
          <w:tcPr>
            <w:tcW w:w="1034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5,2</w:t>
            </w: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3,0</w:t>
            </w:r>
          </w:p>
        </w:tc>
        <w:tc>
          <w:tcPr>
            <w:tcW w:w="70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Pr="00A030EB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Borders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BB107E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.3. Забезпечення першочергового влаштування дітей – сиріт, позбавлених батьківського піклування в сім'ї  родичів, під опіку або піклування, громадян (усиновлення)‚ дитячі будинки сімейного типу, прийомні сім'ї, патронатні сім’ї</w:t>
            </w: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:rsidR="00FF54A3" w:rsidRPr="00087560" w:rsidRDefault="00FF54A3" w:rsidP="00407F6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60">
              <w:rPr>
                <w:rFonts w:ascii="Times New Roman" w:hAnsi="Times New Roman" w:cs="Times New Roman"/>
                <w:sz w:val="20"/>
                <w:szCs w:val="20"/>
              </w:rPr>
              <w:t xml:space="preserve">У звітному періоді Управлінням «Служба у справах дітей» Сумської міської ради взято на облік 43 дітей, які залишилися без піклування батьків.      </w:t>
            </w:r>
          </w:p>
          <w:p w:rsidR="00FF54A3" w:rsidRPr="00087560" w:rsidRDefault="00FF54A3" w:rsidP="00407F6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60">
              <w:rPr>
                <w:rFonts w:ascii="Times New Roman" w:hAnsi="Times New Roman" w:cs="Times New Roman"/>
                <w:sz w:val="20"/>
                <w:szCs w:val="20"/>
              </w:rPr>
              <w:t xml:space="preserve">    Рішенням виконавчого комітету дітям було надано статус дитини-сироти та дитини, позбавленої батьківського піклування. Із них: 16</w:t>
            </w:r>
            <w:r w:rsidRPr="000875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87560">
              <w:rPr>
                <w:rFonts w:ascii="Times New Roman" w:hAnsi="Times New Roman" w:cs="Times New Roman"/>
                <w:sz w:val="20"/>
                <w:szCs w:val="20"/>
              </w:rPr>
              <w:t xml:space="preserve">– влаштовано під опіку та піклування, 3 – прийомні сім’ї, 12 – на повне державне забезпечення,  4 – до сімей патронатних вихователів, 2 – поміщено до центру соціально-психологічної реабілітації дітей області, 2 - до сімей родичів, 4 – вступили до </w:t>
            </w:r>
            <w:proofErr w:type="spellStart"/>
            <w:r w:rsidRPr="00087560">
              <w:rPr>
                <w:rFonts w:ascii="Times New Roman" w:hAnsi="Times New Roman" w:cs="Times New Roman"/>
                <w:sz w:val="20"/>
                <w:szCs w:val="20"/>
              </w:rPr>
              <w:t>професійно</w:t>
            </w:r>
            <w:proofErr w:type="spellEnd"/>
            <w:r w:rsidRPr="00087560">
              <w:rPr>
                <w:rFonts w:ascii="Times New Roman" w:hAnsi="Times New Roman" w:cs="Times New Roman"/>
                <w:sz w:val="20"/>
                <w:szCs w:val="20"/>
              </w:rPr>
              <w:t xml:space="preserve"> – технічних навчальних закладів.</w:t>
            </w:r>
          </w:p>
          <w:p w:rsidR="00FF54A3" w:rsidRPr="00087560" w:rsidRDefault="00FF54A3" w:rsidP="00407F6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60">
              <w:rPr>
                <w:rFonts w:ascii="Times New Roman" w:hAnsi="Times New Roman" w:cs="Times New Roman"/>
                <w:sz w:val="20"/>
                <w:szCs w:val="20"/>
              </w:rPr>
              <w:t>Станом на 01.01.2024 року у м. Суми функціонує 4 дитячих будинків сімейного типу, у яких виховується 30 дітей, (8 сімейних груп) та 11 прийомних сімей, на вихованні яких перебуває  20 дітей-сиріт та дітей, позбавлених батьківського піклування.</w:t>
            </w:r>
          </w:p>
          <w:p w:rsidR="00FF54A3" w:rsidRPr="00087560" w:rsidRDefault="00FF54A3" w:rsidP="00407F6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60">
              <w:rPr>
                <w:rFonts w:ascii="Times New Roman" w:hAnsi="Times New Roman" w:cs="Times New Roman"/>
                <w:sz w:val="20"/>
                <w:szCs w:val="20"/>
              </w:rPr>
              <w:t xml:space="preserve">У лютому 2023 року до дитячого будинку сімейного типу Конєвих </w:t>
            </w:r>
            <w:proofErr w:type="spellStart"/>
            <w:r w:rsidRPr="00087560">
              <w:rPr>
                <w:rFonts w:ascii="Times New Roman" w:hAnsi="Times New Roman" w:cs="Times New Roman"/>
                <w:sz w:val="20"/>
                <w:szCs w:val="20"/>
              </w:rPr>
              <w:t>довлаштована</w:t>
            </w:r>
            <w:proofErr w:type="spellEnd"/>
            <w:r w:rsidRPr="00087560">
              <w:rPr>
                <w:rFonts w:ascii="Times New Roman" w:hAnsi="Times New Roman" w:cs="Times New Roman"/>
                <w:sz w:val="20"/>
                <w:szCs w:val="20"/>
              </w:rPr>
              <w:t xml:space="preserve"> 1 дитина. Усього в родині виховується 8 дітей. У прийомні родини протягом року влаштовано 8 дітей, створено 3 нових сім’ї.</w:t>
            </w:r>
          </w:p>
          <w:p w:rsidR="00FF54A3" w:rsidRPr="00087560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tcBorders>
              <w:bottom w:val="single" w:sz="4" w:space="0" w:color="000000"/>
            </w:tcBorders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000000"/>
            </w:tcBorders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tcBorders>
              <w:bottom w:val="single" w:sz="4" w:space="0" w:color="000000"/>
            </w:tcBorders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F54A3" w:rsidRPr="00176C34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Borders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:rsidR="00FF54A3" w:rsidRPr="00365236" w:rsidRDefault="00FF54A3" w:rsidP="00407F6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54A3" w:rsidRPr="004D5390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77,7</w:t>
            </w:r>
          </w:p>
        </w:tc>
        <w:tc>
          <w:tcPr>
            <w:tcW w:w="989" w:type="dxa"/>
            <w:tcBorders>
              <w:bottom w:val="single" w:sz="4" w:space="0" w:color="000000"/>
            </w:tcBorders>
            <w:vAlign w:val="center"/>
          </w:tcPr>
          <w:p w:rsidR="00FF54A3" w:rsidRPr="004D5390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77,7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000000"/>
            </w:tcBorders>
            <w:vAlign w:val="center"/>
          </w:tcPr>
          <w:p w:rsidR="00FF54A3" w:rsidRPr="004D5390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77,7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vAlign w:val="center"/>
          </w:tcPr>
          <w:p w:rsidR="00FF54A3" w:rsidRPr="004D5390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77,7</w:t>
            </w:r>
          </w:p>
        </w:tc>
        <w:tc>
          <w:tcPr>
            <w:tcW w:w="808" w:type="dxa"/>
            <w:gridSpan w:val="2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:rsidR="00FF54A3" w:rsidRPr="004D5390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77,</w:t>
            </w:r>
            <w:r w:rsidR="00407F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F54A3" w:rsidRPr="004D5390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="001B40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407F6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053" w:type="dxa"/>
            <w:gridSpan w:val="2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Borders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Pr="00365236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3652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365236">
              <w:rPr>
                <w:rFonts w:ascii="Times New Roman" w:eastAsia="Times New Roman" w:hAnsi="Times New Roman" w:cs="Times New Roman"/>
                <w:sz w:val="20"/>
                <w:szCs w:val="20"/>
              </w:rPr>
              <w:t>. Забезпечення проведення святкових заходів, спрямованих на підтримку та соціальний захист дітей-сиріт, дітей, позбавлених батьківського піклування, дітей, які опинились в складних життєвих обставинах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:rsidR="00FF54A3" w:rsidRPr="00FF22DB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0913112</w:t>
            </w:r>
          </w:p>
        </w:tc>
        <w:tc>
          <w:tcPr>
            <w:tcW w:w="2841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:rsidR="00FF54A3" w:rsidRPr="00087560" w:rsidRDefault="00FF54A3" w:rsidP="00407F6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60">
              <w:rPr>
                <w:rFonts w:ascii="Times New Roman" w:hAnsi="Times New Roman" w:cs="Times New Roman"/>
                <w:sz w:val="20"/>
                <w:szCs w:val="20"/>
              </w:rPr>
              <w:t xml:space="preserve">З метою підтримки та соціального захисту дітей-сиріт, дітей, позбавлених батьківського піклування, дітей, які опинились в складних життєвих обставинах Управлінням "Служба у справах дітей" протягом звітного періоду організовано та проведено святкові заходи: </w:t>
            </w:r>
          </w:p>
          <w:p w:rsidR="00FF54A3" w:rsidRPr="00087560" w:rsidRDefault="00FF54A3" w:rsidP="00407F6E">
            <w:pPr>
              <w:ind w:firstLine="531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7560">
              <w:rPr>
                <w:rFonts w:ascii="Times New Roman" w:hAnsi="Times New Roman" w:cs="Times New Roman"/>
                <w:sz w:val="20"/>
                <w:szCs w:val="20"/>
              </w:rPr>
              <w:t>- привітання 20 дітей-сиріт, дітей, позбавлених батьківського піклування, які виховуються у прийомних сім’ях, дитячих будинках сімейного типу,  сім’ях опікунів) до Дня матері та Дня сім’ї. Витрачено на подарунки 14,10 тис. грн.</w:t>
            </w:r>
          </w:p>
          <w:p w:rsidR="00FF54A3" w:rsidRPr="00087560" w:rsidRDefault="00FF54A3" w:rsidP="00407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60">
              <w:rPr>
                <w:rFonts w:ascii="Times New Roman" w:hAnsi="Times New Roman" w:cs="Times New Roman"/>
                <w:sz w:val="20"/>
                <w:szCs w:val="20"/>
              </w:rPr>
              <w:t xml:space="preserve">        - 12 дітей-сиріт та дітей, позбавлених батьківського піклування до дня «Останнього дзвоника» отримали подарунки на суму 16,32 тис. грн. </w:t>
            </w:r>
          </w:p>
          <w:p w:rsidR="00FF54A3" w:rsidRPr="00087560" w:rsidRDefault="00FF54A3" w:rsidP="00407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60">
              <w:rPr>
                <w:rFonts w:ascii="Times New Roman" w:hAnsi="Times New Roman" w:cs="Times New Roman"/>
                <w:sz w:val="20"/>
                <w:szCs w:val="20"/>
              </w:rPr>
              <w:t xml:space="preserve">        - до Дня Батька 10 дітей-сиріт та дітей, позбавлених батьківського піклування отримали подарунки на суму 8,24 тис. грн.</w:t>
            </w:r>
          </w:p>
          <w:p w:rsidR="00FF54A3" w:rsidRPr="00087560" w:rsidRDefault="00FF54A3" w:rsidP="00407F6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60">
              <w:rPr>
                <w:rFonts w:ascii="Times New Roman" w:hAnsi="Times New Roman" w:cs="Times New Roman"/>
                <w:sz w:val="20"/>
                <w:szCs w:val="20"/>
              </w:rPr>
              <w:t>- 9 дітей до Дня знань отримали подарунки на суму 6,47 тис. грн. До дня спільних дій в інтересах дітей Управлінням було поздоровлено 21 дитина, витрачено на подарунки 5,21 тис. грн.</w:t>
            </w:r>
          </w:p>
          <w:p w:rsidR="00FF54A3" w:rsidRPr="00087560" w:rsidRDefault="00FF54A3" w:rsidP="00407F6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до Дня святого Миколая та до Новорічних свят від Управління отримали привітання та подарунки  98 дітей на загальну суму 10,45 тис. грн. </w:t>
            </w:r>
          </w:p>
          <w:p w:rsidR="00FF54A3" w:rsidRPr="00087560" w:rsidRDefault="00FF54A3" w:rsidP="00407F6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54A3" w:rsidRPr="004D5390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77,7</w:t>
            </w:r>
          </w:p>
        </w:tc>
        <w:tc>
          <w:tcPr>
            <w:tcW w:w="989" w:type="dxa"/>
            <w:tcBorders>
              <w:bottom w:val="single" w:sz="4" w:space="0" w:color="000000"/>
            </w:tcBorders>
            <w:vAlign w:val="center"/>
          </w:tcPr>
          <w:p w:rsidR="00FF54A3" w:rsidRPr="004D5390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77,7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000000"/>
            </w:tcBorders>
            <w:vAlign w:val="center"/>
          </w:tcPr>
          <w:p w:rsidR="00FF54A3" w:rsidRPr="004D5390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77,7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vAlign w:val="center"/>
          </w:tcPr>
          <w:p w:rsidR="00FF54A3" w:rsidRPr="004D5390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77,7</w:t>
            </w:r>
          </w:p>
        </w:tc>
        <w:tc>
          <w:tcPr>
            <w:tcW w:w="808" w:type="dxa"/>
            <w:gridSpan w:val="2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:rsidR="00FF54A3" w:rsidRPr="004D5390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77,</w:t>
            </w:r>
            <w:r w:rsidR="00407F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F54A3" w:rsidRPr="004D5390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77,</w:t>
            </w:r>
            <w:r w:rsidR="00407F6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053" w:type="dxa"/>
            <w:gridSpan w:val="2"/>
            <w:tcBorders>
              <w:bottom w:val="single" w:sz="4" w:space="0" w:color="000000"/>
            </w:tcBorders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29,9</w:t>
            </w:r>
          </w:p>
        </w:tc>
        <w:tc>
          <w:tcPr>
            <w:tcW w:w="98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29,9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29,9</w:t>
            </w:r>
          </w:p>
        </w:tc>
        <w:tc>
          <w:tcPr>
            <w:tcW w:w="1034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29,9</w:t>
            </w: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Pr="001549EE" w:rsidRDefault="001B4097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  <w:r w:rsidR="00407F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,1</w:t>
            </w:r>
          </w:p>
        </w:tc>
        <w:tc>
          <w:tcPr>
            <w:tcW w:w="709" w:type="dxa"/>
            <w:vAlign w:val="center"/>
          </w:tcPr>
          <w:p w:rsidR="00FF54A3" w:rsidRPr="001549EE" w:rsidRDefault="00FF54A3" w:rsidP="001B4097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B40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="00407F6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,1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A15971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159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A159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Привітання новостворених прийомних сімей, дитячих будинків сімейного типу, патронатних сімей</w:t>
            </w:r>
          </w:p>
        </w:tc>
        <w:tc>
          <w:tcPr>
            <w:tcW w:w="926" w:type="dxa"/>
          </w:tcPr>
          <w:p w:rsidR="00FF54A3" w:rsidRPr="004B527F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0913112</w:t>
            </w: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Pr="00685516" w:rsidRDefault="00FF54A3" w:rsidP="00407F6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516">
              <w:rPr>
                <w:rFonts w:ascii="Times New Roman" w:hAnsi="Times New Roman" w:cs="Times New Roman"/>
                <w:sz w:val="20"/>
                <w:szCs w:val="20"/>
              </w:rPr>
              <w:t>Придбано подарунки для трьох новостворених прийомних сімей на суму 14,81 тис. грн.</w:t>
            </w:r>
          </w:p>
          <w:p w:rsidR="00FF54A3" w:rsidRPr="00685516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29,9</w:t>
            </w:r>
          </w:p>
        </w:tc>
        <w:tc>
          <w:tcPr>
            <w:tcW w:w="98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29,9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29,9</w:t>
            </w:r>
          </w:p>
        </w:tc>
        <w:tc>
          <w:tcPr>
            <w:tcW w:w="1034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29,9</w:t>
            </w: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Pr="001549EE" w:rsidRDefault="00FF54A3" w:rsidP="001B4097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1B4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407F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,1</w:t>
            </w:r>
          </w:p>
        </w:tc>
        <w:tc>
          <w:tcPr>
            <w:tcW w:w="709" w:type="dxa"/>
            <w:vAlign w:val="center"/>
          </w:tcPr>
          <w:p w:rsidR="00FF54A3" w:rsidRPr="001549EE" w:rsidRDefault="00FF54A3" w:rsidP="001B4097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B40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="00407F6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,1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13,5</w:t>
            </w:r>
          </w:p>
        </w:tc>
        <w:tc>
          <w:tcPr>
            <w:tcW w:w="98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13,5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1549EE" w:rsidRDefault="001B4097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="00FF5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1034" w:type="dxa"/>
            <w:vAlign w:val="center"/>
          </w:tcPr>
          <w:p w:rsidR="00FF54A3" w:rsidRPr="001549EE" w:rsidRDefault="00FF54A3" w:rsidP="001B4097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B40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Pr="001549EE" w:rsidRDefault="00FF54A3" w:rsidP="001B4097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1B4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709" w:type="dxa"/>
            <w:vAlign w:val="center"/>
          </w:tcPr>
          <w:p w:rsidR="00FF54A3" w:rsidRPr="001549EE" w:rsidRDefault="00FF54A3" w:rsidP="001B4097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B40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5838C4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Привітання прийомних сімей, дитячих будинків сімейного типу з ювілейними датами (5, 10, 15 років)</w:t>
            </w:r>
          </w:p>
          <w:p w:rsidR="00FF54A3" w:rsidRPr="00BB107E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6" w:type="dxa"/>
          </w:tcPr>
          <w:p w:rsidR="00FF54A3" w:rsidRPr="00FF22DB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0913112</w:t>
            </w: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Pr="00685516" w:rsidRDefault="00FF54A3" w:rsidP="00407F6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516">
              <w:rPr>
                <w:rFonts w:ascii="Times New Roman" w:hAnsi="Times New Roman" w:cs="Times New Roman"/>
                <w:sz w:val="20"/>
                <w:szCs w:val="20"/>
              </w:rPr>
              <w:t xml:space="preserve">З нагоди ювілейних дат привітали родини </w:t>
            </w:r>
            <w:proofErr w:type="spellStart"/>
            <w:r w:rsidRPr="00685516">
              <w:rPr>
                <w:rFonts w:ascii="Times New Roman" w:hAnsi="Times New Roman" w:cs="Times New Roman"/>
                <w:sz w:val="20"/>
                <w:szCs w:val="20"/>
              </w:rPr>
              <w:t>Сиротенків</w:t>
            </w:r>
            <w:proofErr w:type="spellEnd"/>
            <w:r w:rsidRPr="00685516">
              <w:rPr>
                <w:rFonts w:ascii="Times New Roman" w:hAnsi="Times New Roman" w:cs="Times New Roman"/>
                <w:sz w:val="20"/>
                <w:szCs w:val="20"/>
              </w:rPr>
              <w:t>, Іванових та Фоменко подарунками вартістю 10,50 тис. грн.</w:t>
            </w:r>
          </w:p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13,5</w:t>
            </w:r>
          </w:p>
        </w:tc>
        <w:tc>
          <w:tcPr>
            <w:tcW w:w="98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13,5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1549EE" w:rsidRDefault="00FF54A3" w:rsidP="001B4097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1B4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1034" w:type="dxa"/>
            <w:vAlign w:val="center"/>
          </w:tcPr>
          <w:p w:rsidR="00FF54A3" w:rsidRPr="001549EE" w:rsidRDefault="00FF54A3" w:rsidP="001B4097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B40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Pr="001549EE" w:rsidRDefault="00FF54A3" w:rsidP="001B4097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1B4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70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B40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8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1034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70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5838C4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меблів для забезпечення належних умов будинку сімейного типу</w:t>
            </w:r>
          </w:p>
        </w:tc>
        <w:tc>
          <w:tcPr>
            <w:tcW w:w="926" w:type="dxa"/>
          </w:tcPr>
          <w:p w:rsidR="00FF54A3" w:rsidRPr="004B527F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0913111</w:t>
            </w: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Pr="009015EB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ДБСТ Конєвих був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забеспечений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меблями на суму 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8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1034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70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105,0</w:t>
            </w:r>
          </w:p>
        </w:tc>
        <w:tc>
          <w:tcPr>
            <w:tcW w:w="98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105,0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75,0</w:t>
            </w:r>
          </w:p>
        </w:tc>
        <w:tc>
          <w:tcPr>
            <w:tcW w:w="1034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75,0</w:t>
            </w: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74,9</w:t>
            </w:r>
          </w:p>
        </w:tc>
        <w:tc>
          <w:tcPr>
            <w:tcW w:w="70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74,9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5838C4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Забезпечення належних умов функціонування дитячих будинків сімейного типу</w:t>
            </w:r>
          </w:p>
        </w:tc>
        <w:tc>
          <w:tcPr>
            <w:tcW w:w="926" w:type="dxa"/>
          </w:tcPr>
          <w:p w:rsidR="00FF54A3" w:rsidRPr="00FF22DB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0913111</w:t>
            </w: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Pr="009015EB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5 п</w:t>
            </w:r>
            <w:r w:rsidRPr="009015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ДБСТ була придбана побутова техніка  та меблі на загальну суму 74,9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105,0</w:t>
            </w:r>
          </w:p>
        </w:tc>
        <w:tc>
          <w:tcPr>
            <w:tcW w:w="98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105,0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75,0</w:t>
            </w:r>
          </w:p>
        </w:tc>
        <w:tc>
          <w:tcPr>
            <w:tcW w:w="1034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75,0</w:t>
            </w: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74,9</w:t>
            </w:r>
          </w:p>
        </w:tc>
        <w:tc>
          <w:tcPr>
            <w:tcW w:w="70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74,9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102,1</w:t>
            </w:r>
          </w:p>
        </w:tc>
        <w:tc>
          <w:tcPr>
            <w:tcW w:w="98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102,1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25,5</w:t>
            </w:r>
          </w:p>
        </w:tc>
        <w:tc>
          <w:tcPr>
            <w:tcW w:w="1034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25,5</w:t>
            </w: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5838C4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Забезпечення виплати поворотної фінансової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допомоги, що виплачується патронатному вихователю до моменту отримання державної соціальної допомоги</w:t>
            </w:r>
          </w:p>
        </w:tc>
        <w:tc>
          <w:tcPr>
            <w:tcW w:w="926" w:type="dxa"/>
          </w:tcPr>
          <w:p w:rsidR="00FF54A3" w:rsidRPr="00FF22DB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0913112</w:t>
            </w: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Pr="001D2B75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Фінансова допомога не виплачувалася у зв</w:t>
            </w:r>
            <w:r w:rsidRPr="001D2B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відсутністю новостворених сімей патронатних вихователів</w:t>
            </w:r>
          </w:p>
        </w:tc>
        <w:tc>
          <w:tcPr>
            <w:tcW w:w="850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102,1</w:t>
            </w:r>
          </w:p>
        </w:tc>
        <w:tc>
          <w:tcPr>
            <w:tcW w:w="98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102,1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25,5</w:t>
            </w:r>
          </w:p>
        </w:tc>
        <w:tc>
          <w:tcPr>
            <w:tcW w:w="1034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25,5</w:t>
            </w: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vAlign w:val="center"/>
          </w:tcPr>
          <w:p w:rsidR="00FF54A3" w:rsidRPr="001549EE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забезпеченню житлом дітей-сиріт та дітей, позбавлених батьківського піклування, осіб з їх числа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gridSpan w:val="2"/>
            <w:vMerge w:val="restart"/>
            <w:tcBorders>
              <w:right w:val="single" w:sz="8" w:space="0" w:color="000000"/>
            </w:tcBorders>
          </w:tcPr>
          <w:p w:rsidR="00FF54A3" w:rsidRPr="001D2B75" w:rsidRDefault="00FF54A3" w:rsidP="00407F6E">
            <w:pPr>
              <w:tabs>
                <w:tab w:val="left" w:pos="0"/>
                <w:tab w:val="left" w:pos="3600"/>
                <w:tab w:val="left" w:pos="9840"/>
              </w:tabs>
              <w:ind w:right="-4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75">
              <w:rPr>
                <w:rFonts w:ascii="Times New Roman" w:hAnsi="Times New Roman" w:cs="Times New Roman"/>
                <w:sz w:val="20"/>
                <w:szCs w:val="20"/>
              </w:rPr>
              <w:t xml:space="preserve">На первинному обліку в Управлінні на 01.01.2024 року  перебуває 290 дітей-сиріт та дітей, позбавлених батьківського піклування. Із них 38 дитини має житло на праві власності, 140 дітей мають житло на праві користування, 112 дітей не мають житла. </w:t>
            </w:r>
          </w:p>
          <w:p w:rsidR="00FF54A3" w:rsidRPr="001D2B75" w:rsidRDefault="00FF54A3" w:rsidP="00407F6E">
            <w:pPr>
              <w:tabs>
                <w:tab w:val="left" w:pos="0"/>
                <w:tab w:val="left" w:pos="3600"/>
                <w:tab w:val="left" w:pos="9840"/>
              </w:tabs>
              <w:ind w:right="-4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75">
              <w:rPr>
                <w:rFonts w:ascii="Times New Roman" w:hAnsi="Times New Roman" w:cs="Times New Roman"/>
                <w:sz w:val="20"/>
                <w:szCs w:val="20"/>
              </w:rPr>
              <w:t xml:space="preserve">Для своєчасного взяття дітей-сиріт та дітей, позбавлених батьківського піклування, які не мають житла, на квартирний облік, після досягнення ними   16 років Управлінням «Служба у справах дітей» направлялись клопотання (пакет документів) до управління «Центр надання адміністративних послуг» щодо постановки таких дітей на квартирний облік. </w:t>
            </w:r>
          </w:p>
          <w:p w:rsidR="00FF54A3" w:rsidRPr="001D2B75" w:rsidRDefault="00FF54A3" w:rsidP="00407F6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75">
              <w:rPr>
                <w:rFonts w:ascii="Times New Roman" w:hAnsi="Times New Roman" w:cs="Times New Roman"/>
                <w:sz w:val="20"/>
                <w:szCs w:val="20"/>
              </w:rPr>
              <w:t xml:space="preserve">Протягом звітного періоду 9 дітей-сиріт та дітей, позбавлених батьківського піклування включено до списку позачергового одержання житла.  </w:t>
            </w:r>
          </w:p>
          <w:p w:rsidR="00FF54A3" w:rsidRPr="001D2B75" w:rsidRDefault="00FF54A3" w:rsidP="00407F6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75">
              <w:rPr>
                <w:rFonts w:ascii="Times New Roman" w:hAnsi="Times New Roman" w:cs="Times New Roman"/>
                <w:sz w:val="20"/>
                <w:szCs w:val="20"/>
              </w:rPr>
              <w:t xml:space="preserve">Станом на 01.01.2024 року на квартирному обліку позачергового отримання житла перебуває 119 дітей-сиріт, дітей, позбавлених </w:t>
            </w:r>
            <w:r w:rsidRPr="001D2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батьківського піклування, осіб з їх числа. </w:t>
            </w:r>
          </w:p>
          <w:p w:rsidR="00FF54A3" w:rsidRPr="001D2B75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D710D1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12.1. Забезпечити постановку дітей-сиріт та дітей, позбавлених батьківського піклування, після досягнення ними 16 років на квартирний облік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Pr="00D710D1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 w:val="restart"/>
            <w:tcBorders>
              <w:right w:val="single" w:sz="8" w:space="0" w:color="000000"/>
            </w:tcBorders>
          </w:tcPr>
          <w:p w:rsidR="00FF54A3" w:rsidRPr="001E605F" w:rsidRDefault="00FF54A3" w:rsidP="00407F6E">
            <w:pPr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05F">
              <w:rPr>
                <w:rFonts w:ascii="Times New Roman" w:hAnsi="Times New Roman" w:cs="Times New Roman"/>
                <w:sz w:val="20"/>
                <w:szCs w:val="20"/>
              </w:rPr>
              <w:t xml:space="preserve">Здійснено виплату одноразової допомоги дітям-сиротам і дітям, позбавленим батьківського піклування, після досягнення 18-річного віку (в тому числі ВПО): план на 2023 рік – 72,40 тис. грн, фактично </w:t>
            </w:r>
            <w:proofErr w:type="spellStart"/>
            <w:r w:rsidRPr="001E605F">
              <w:rPr>
                <w:rFonts w:ascii="Times New Roman" w:hAnsi="Times New Roman" w:cs="Times New Roman"/>
                <w:sz w:val="20"/>
                <w:szCs w:val="20"/>
              </w:rPr>
              <w:t>виплачено</w:t>
            </w:r>
            <w:proofErr w:type="spellEnd"/>
            <w:r w:rsidRPr="001E605F">
              <w:rPr>
                <w:rFonts w:ascii="Times New Roman" w:hAnsi="Times New Roman" w:cs="Times New Roman"/>
                <w:sz w:val="20"/>
                <w:szCs w:val="20"/>
              </w:rPr>
              <w:t xml:space="preserve"> понад плану – 77,83 тис. грн 43 дітям зазначеної категорії.</w:t>
            </w:r>
          </w:p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85,1</w:t>
            </w:r>
          </w:p>
        </w:tc>
        <w:tc>
          <w:tcPr>
            <w:tcW w:w="989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85,1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85,1</w:t>
            </w:r>
          </w:p>
        </w:tc>
        <w:tc>
          <w:tcPr>
            <w:tcW w:w="1034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85,1</w:t>
            </w: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77,8</w:t>
            </w:r>
          </w:p>
        </w:tc>
        <w:tc>
          <w:tcPr>
            <w:tcW w:w="709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77,8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BB107E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Одноразова допомога дітям –сиротам і дітям, позбавленим батьківського піклування, після досягнення 18-річного віку</w:t>
            </w:r>
          </w:p>
          <w:p w:rsidR="00FF54A3" w:rsidRPr="00F43A99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85,1</w:t>
            </w:r>
          </w:p>
        </w:tc>
        <w:tc>
          <w:tcPr>
            <w:tcW w:w="989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85,1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85,1</w:t>
            </w:r>
          </w:p>
        </w:tc>
        <w:tc>
          <w:tcPr>
            <w:tcW w:w="1034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85,1</w:t>
            </w: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77,8</w:t>
            </w:r>
          </w:p>
        </w:tc>
        <w:tc>
          <w:tcPr>
            <w:tcW w:w="709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77,8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54A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F54A3" w:rsidRDefault="00FF54A3" w:rsidP="00407F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26" w:type="dxa"/>
          </w:tcPr>
          <w:p w:rsidR="00FF54A3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85,1</w:t>
            </w:r>
          </w:p>
        </w:tc>
        <w:tc>
          <w:tcPr>
            <w:tcW w:w="989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85,1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85,1</w:t>
            </w:r>
          </w:p>
        </w:tc>
        <w:tc>
          <w:tcPr>
            <w:tcW w:w="1034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85,1</w:t>
            </w: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77,8</w:t>
            </w:r>
          </w:p>
        </w:tc>
        <w:tc>
          <w:tcPr>
            <w:tcW w:w="709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77,8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4A3" w:rsidTr="00D95D28">
        <w:trPr>
          <w:gridAfter w:val="1"/>
          <w:wAfter w:w="11" w:type="dxa"/>
          <w:trHeight w:val="495"/>
          <w:jc w:val="center"/>
        </w:trPr>
        <w:tc>
          <w:tcPr>
            <w:tcW w:w="271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F54A3" w:rsidRPr="00A15971" w:rsidRDefault="00FF54A3" w:rsidP="00407F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Pr="00A159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159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матеріальної підтримки дітям – сиротам і дітям, позбавленим батьківського піклування, після досягнення 18-річного віку.</w:t>
            </w:r>
          </w:p>
        </w:tc>
        <w:tc>
          <w:tcPr>
            <w:tcW w:w="926" w:type="dxa"/>
          </w:tcPr>
          <w:p w:rsidR="00FF54A3" w:rsidRPr="00FF22DB" w:rsidRDefault="00FF54A3" w:rsidP="00407F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0613242</w:t>
            </w:r>
          </w:p>
        </w:tc>
        <w:tc>
          <w:tcPr>
            <w:tcW w:w="2841" w:type="dxa"/>
            <w:gridSpan w:val="2"/>
            <w:vMerge/>
            <w:tcBorders>
              <w:right w:val="single" w:sz="8" w:space="0" w:color="000000"/>
            </w:tcBorders>
          </w:tcPr>
          <w:p w:rsidR="00FF54A3" w:rsidRDefault="00FF54A3" w:rsidP="00407F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85,1</w:t>
            </w:r>
          </w:p>
        </w:tc>
        <w:tc>
          <w:tcPr>
            <w:tcW w:w="989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85,1</w:t>
            </w:r>
          </w:p>
        </w:tc>
        <w:tc>
          <w:tcPr>
            <w:tcW w:w="999" w:type="dxa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85,1</w:t>
            </w:r>
          </w:p>
        </w:tc>
        <w:tc>
          <w:tcPr>
            <w:tcW w:w="1034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85,1</w:t>
            </w:r>
          </w:p>
        </w:tc>
        <w:tc>
          <w:tcPr>
            <w:tcW w:w="808" w:type="dxa"/>
            <w:gridSpan w:val="2"/>
            <w:vAlign w:val="center"/>
          </w:tcPr>
          <w:p w:rsidR="00FF54A3" w:rsidRDefault="00FF54A3" w:rsidP="00407F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77,8</w:t>
            </w:r>
          </w:p>
        </w:tc>
        <w:tc>
          <w:tcPr>
            <w:tcW w:w="709" w:type="dxa"/>
            <w:vAlign w:val="center"/>
          </w:tcPr>
          <w:p w:rsidR="00FF54A3" w:rsidRPr="00680423" w:rsidRDefault="00FF54A3" w:rsidP="00407F6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77,8</w:t>
            </w:r>
          </w:p>
        </w:tc>
        <w:tc>
          <w:tcPr>
            <w:tcW w:w="1053" w:type="dxa"/>
            <w:gridSpan w:val="2"/>
            <w:vAlign w:val="center"/>
          </w:tcPr>
          <w:p w:rsidR="00FF54A3" w:rsidRDefault="00FF54A3" w:rsidP="00407F6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54A3" w:rsidRDefault="00FF54A3" w:rsidP="00FF54A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*зазначається у випадку якщо відповідальний виконавець програми не є головним розпорядником бюджетних коштів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</w:p>
    <w:p w:rsidR="00FF54A3" w:rsidRDefault="00FF54A3" w:rsidP="00FF54A3">
      <w:pPr>
        <w:spacing w:line="240" w:lineRule="auto"/>
        <w:ind w:left="720" w:right="-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зазначається у разі поділу програми на підпрограми</w:t>
      </w:r>
    </w:p>
    <w:p w:rsidR="00C47602" w:rsidRDefault="00C47602" w:rsidP="00C47602">
      <w:pPr>
        <w:spacing w:line="240" w:lineRule="auto"/>
        <w:ind w:left="720" w:right="-6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0C0D" w:rsidRDefault="00465254" w:rsidP="00450C0D">
      <w:pPr>
        <w:pStyle w:val="a5"/>
        <w:jc w:val="both"/>
        <w:outlineLvl w:val="0"/>
        <w:rPr>
          <w:szCs w:val="28"/>
        </w:rPr>
      </w:pPr>
      <w:r>
        <w:rPr>
          <w:szCs w:val="28"/>
        </w:rPr>
        <w:t>Секретар Сумської міської ради</w:t>
      </w:r>
      <w:r w:rsidR="00450C0D">
        <w:rPr>
          <w:szCs w:val="28"/>
        </w:rPr>
        <w:tab/>
      </w:r>
      <w:r w:rsidR="00450C0D">
        <w:rPr>
          <w:szCs w:val="28"/>
        </w:rPr>
        <w:tab/>
      </w:r>
      <w:r w:rsidR="00450C0D" w:rsidRPr="002E62DE">
        <w:rPr>
          <w:szCs w:val="28"/>
        </w:rPr>
        <w:tab/>
      </w:r>
      <w:r w:rsidR="00450C0D" w:rsidRPr="002E62DE">
        <w:rPr>
          <w:szCs w:val="28"/>
        </w:rPr>
        <w:tab/>
      </w:r>
      <w:r w:rsidR="00450C0D" w:rsidRPr="002E62DE">
        <w:rPr>
          <w:szCs w:val="28"/>
        </w:rPr>
        <w:tab/>
      </w:r>
      <w:r w:rsidR="00450C0D" w:rsidRPr="002E62DE">
        <w:rPr>
          <w:szCs w:val="28"/>
        </w:rPr>
        <w:tab/>
      </w:r>
      <w:r w:rsidR="00363512">
        <w:rPr>
          <w:szCs w:val="28"/>
        </w:rPr>
        <w:t xml:space="preserve">                                      </w:t>
      </w:r>
      <w:r w:rsidR="00450C0D" w:rsidRPr="002E62DE">
        <w:rPr>
          <w:szCs w:val="28"/>
        </w:rPr>
        <w:tab/>
      </w:r>
      <w:r>
        <w:rPr>
          <w:szCs w:val="28"/>
        </w:rPr>
        <w:t xml:space="preserve">  Артем КОБЗАР</w:t>
      </w:r>
    </w:p>
    <w:p w:rsidR="00711C80" w:rsidRDefault="00711C80" w:rsidP="00711C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C80" w:rsidRDefault="00711C80" w:rsidP="00711C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7DE" w:rsidRDefault="000737DE"/>
    <w:sectPr w:rsidR="000737DE" w:rsidSect="00251B75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5493"/>
    <w:multiLevelType w:val="hybridMultilevel"/>
    <w:tmpl w:val="7DE2B532"/>
    <w:lvl w:ilvl="0" w:tplc="1D6E8450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80"/>
    <w:rsid w:val="000069CF"/>
    <w:rsid w:val="00007E57"/>
    <w:rsid w:val="00012A5F"/>
    <w:rsid w:val="000208D0"/>
    <w:rsid w:val="00020D1C"/>
    <w:rsid w:val="00025FC3"/>
    <w:rsid w:val="00031781"/>
    <w:rsid w:val="000737DE"/>
    <w:rsid w:val="00094D27"/>
    <w:rsid w:val="000B596C"/>
    <w:rsid w:val="000D4059"/>
    <w:rsid w:val="000D583F"/>
    <w:rsid w:val="000E21B5"/>
    <w:rsid w:val="000F48D7"/>
    <w:rsid w:val="001021FF"/>
    <w:rsid w:val="00112ADB"/>
    <w:rsid w:val="0011404E"/>
    <w:rsid w:val="00120CB2"/>
    <w:rsid w:val="00144AD7"/>
    <w:rsid w:val="001549EE"/>
    <w:rsid w:val="00176C34"/>
    <w:rsid w:val="001A0A7C"/>
    <w:rsid w:val="001B3797"/>
    <w:rsid w:val="001B4097"/>
    <w:rsid w:val="00207E89"/>
    <w:rsid w:val="00212C8A"/>
    <w:rsid w:val="002424DD"/>
    <w:rsid w:val="00251B75"/>
    <w:rsid w:val="00273DEA"/>
    <w:rsid w:val="0028127C"/>
    <w:rsid w:val="002A1564"/>
    <w:rsid w:val="002B53A4"/>
    <w:rsid w:val="002D73DE"/>
    <w:rsid w:val="002E131A"/>
    <w:rsid w:val="00353B2F"/>
    <w:rsid w:val="00363512"/>
    <w:rsid w:val="00365236"/>
    <w:rsid w:val="0036601E"/>
    <w:rsid w:val="00373DF8"/>
    <w:rsid w:val="003B0271"/>
    <w:rsid w:val="003B0341"/>
    <w:rsid w:val="003B7E4D"/>
    <w:rsid w:val="003D0D44"/>
    <w:rsid w:val="003D5D80"/>
    <w:rsid w:val="003E5339"/>
    <w:rsid w:val="00407F6E"/>
    <w:rsid w:val="004261EB"/>
    <w:rsid w:val="00450C0D"/>
    <w:rsid w:val="00465254"/>
    <w:rsid w:val="0047594C"/>
    <w:rsid w:val="0047763B"/>
    <w:rsid w:val="004A3444"/>
    <w:rsid w:val="004B527F"/>
    <w:rsid w:val="004D5390"/>
    <w:rsid w:val="00527558"/>
    <w:rsid w:val="005838C4"/>
    <w:rsid w:val="005A495F"/>
    <w:rsid w:val="005D7CC4"/>
    <w:rsid w:val="005F4096"/>
    <w:rsid w:val="006237E5"/>
    <w:rsid w:val="00626407"/>
    <w:rsid w:val="0066539F"/>
    <w:rsid w:val="00680237"/>
    <w:rsid w:val="00680423"/>
    <w:rsid w:val="006A1876"/>
    <w:rsid w:val="006E1272"/>
    <w:rsid w:val="00702E15"/>
    <w:rsid w:val="00711C80"/>
    <w:rsid w:val="007549C7"/>
    <w:rsid w:val="00756298"/>
    <w:rsid w:val="00777427"/>
    <w:rsid w:val="00791FD1"/>
    <w:rsid w:val="00792938"/>
    <w:rsid w:val="00795AB5"/>
    <w:rsid w:val="007D2DF6"/>
    <w:rsid w:val="007E227B"/>
    <w:rsid w:val="00805482"/>
    <w:rsid w:val="008173AE"/>
    <w:rsid w:val="00832F6A"/>
    <w:rsid w:val="00841A45"/>
    <w:rsid w:val="008A543D"/>
    <w:rsid w:val="008F539D"/>
    <w:rsid w:val="00905DDB"/>
    <w:rsid w:val="00916D5B"/>
    <w:rsid w:val="009318C9"/>
    <w:rsid w:val="00974859"/>
    <w:rsid w:val="0099765D"/>
    <w:rsid w:val="009E1F63"/>
    <w:rsid w:val="009E2618"/>
    <w:rsid w:val="009E2D28"/>
    <w:rsid w:val="00A030EB"/>
    <w:rsid w:val="00A06FEB"/>
    <w:rsid w:val="00A15971"/>
    <w:rsid w:val="00A20169"/>
    <w:rsid w:val="00A62B4A"/>
    <w:rsid w:val="00AA13EE"/>
    <w:rsid w:val="00AC3D1D"/>
    <w:rsid w:val="00AD4291"/>
    <w:rsid w:val="00B26052"/>
    <w:rsid w:val="00B961F7"/>
    <w:rsid w:val="00B96AE3"/>
    <w:rsid w:val="00BB107E"/>
    <w:rsid w:val="00BF3486"/>
    <w:rsid w:val="00BF6DC8"/>
    <w:rsid w:val="00C01163"/>
    <w:rsid w:val="00C03DA4"/>
    <w:rsid w:val="00C071D6"/>
    <w:rsid w:val="00C25579"/>
    <w:rsid w:val="00C36AB4"/>
    <w:rsid w:val="00C42693"/>
    <w:rsid w:val="00C47602"/>
    <w:rsid w:val="00C7070B"/>
    <w:rsid w:val="00CB6A22"/>
    <w:rsid w:val="00CD61EB"/>
    <w:rsid w:val="00D0426B"/>
    <w:rsid w:val="00D11914"/>
    <w:rsid w:val="00D17B00"/>
    <w:rsid w:val="00D430DC"/>
    <w:rsid w:val="00D549A2"/>
    <w:rsid w:val="00D710D1"/>
    <w:rsid w:val="00D72E15"/>
    <w:rsid w:val="00D914BF"/>
    <w:rsid w:val="00D9447C"/>
    <w:rsid w:val="00D95D28"/>
    <w:rsid w:val="00DA2D92"/>
    <w:rsid w:val="00DB522C"/>
    <w:rsid w:val="00DB671C"/>
    <w:rsid w:val="00DD37B5"/>
    <w:rsid w:val="00DE60F9"/>
    <w:rsid w:val="00E11B99"/>
    <w:rsid w:val="00E8743E"/>
    <w:rsid w:val="00E91D3B"/>
    <w:rsid w:val="00EA50CC"/>
    <w:rsid w:val="00EB67E3"/>
    <w:rsid w:val="00EC3F90"/>
    <w:rsid w:val="00F0487A"/>
    <w:rsid w:val="00F43A99"/>
    <w:rsid w:val="00F90A45"/>
    <w:rsid w:val="00F93B04"/>
    <w:rsid w:val="00FF22DB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D4E2-92C6-4CE0-A660-D07F816B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1C80"/>
    <w:pPr>
      <w:spacing w:after="0" w:line="276" w:lineRule="auto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36AB4"/>
    <w:pPr>
      <w:widowControl w:val="0"/>
      <w:autoSpaceDE w:val="0"/>
      <w:autoSpaceDN w:val="0"/>
      <w:adjustRightInd w:val="0"/>
      <w:spacing w:line="317" w:lineRule="exact"/>
      <w:ind w:firstLine="288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3">
    <w:name w:val="Body Text Indent"/>
    <w:basedOn w:val="a"/>
    <w:link w:val="a4"/>
    <w:uiPriority w:val="99"/>
    <w:semiHidden/>
    <w:unhideWhenUsed/>
    <w:rsid w:val="000B59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B59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rsid w:val="000B596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caption"/>
    <w:basedOn w:val="a"/>
    <w:qFormat/>
    <w:rsid w:val="00450C0D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D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F8"/>
    <w:rPr>
      <w:rFonts w:ascii="Segoe UI" w:eastAsia="Arial" w:hAnsi="Segoe UI" w:cs="Segoe UI"/>
      <w:sz w:val="18"/>
      <w:szCs w:val="18"/>
      <w:lang w:val="uk" w:eastAsia="ru-RU"/>
    </w:rPr>
  </w:style>
  <w:style w:type="paragraph" w:styleId="a8">
    <w:name w:val="List Paragraph"/>
    <w:basedOn w:val="a"/>
    <w:uiPriority w:val="34"/>
    <w:qFormat/>
    <w:rsid w:val="009E2618"/>
    <w:pPr>
      <w:ind w:left="720"/>
      <w:contextualSpacing/>
    </w:pPr>
  </w:style>
  <w:style w:type="paragraph" w:customStyle="1" w:styleId="a9">
    <w:name w:val="Знак Знак Знак Знак"/>
    <w:basedOn w:val="a"/>
    <w:rsid w:val="0066539F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94D27"/>
    <w:rPr>
      <w:b/>
      <w:bCs/>
    </w:rPr>
  </w:style>
  <w:style w:type="character" w:styleId="ab">
    <w:name w:val="Emphasis"/>
    <w:uiPriority w:val="20"/>
    <w:qFormat/>
    <w:rsid w:val="00094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3EE71-A1FE-48D2-AFEC-3EB036E4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4026</Words>
  <Characters>22950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Віктор Іванович</dc:creator>
  <cp:keywords/>
  <dc:description/>
  <cp:lastModifiedBy>Павленко Віктор Іванович</cp:lastModifiedBy>
  <cp:revision>2</cp:revision>
  <cp:lastPrinted>2024-04-11T12:01:00Z</cp:lastPrinted>
  <dcterms:created xsi:type="dcterms:W3CDTF">2024-04-17T07:51:00Z</dcterms:created>
  <dcterms:modified xsi:type="dcterms:W3CDTF">2024-04-17T07:51:00Z</dcterms:modified>
</cp:coreProperties>
</file>