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DC189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DC1899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</w:t>
      </w:r>
      <w:r w:rsidR="00D26242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DC1899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84713E" w:rsidTr="00C240FF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D4061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DC189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7E2FC6">
              <w:rPr>
                <w:sz w:val="28"/>
                <w:szCs w:val="28"/>
                <w:lang w:val="uk-UA"/>
              </w:rPr>
              <w:t>Ремвзуття</w:t>
            </w:r>
            <w:proofErr w:type="spellEnd"/>
            <w:r w:rsidR="00DC1899">
              <w:rPr>
                <w:sz w:val="28"/>
                <w:szCs w:val="28"/>
                <w:lang w:val="uk-UA"/>
              </w:rPr>
              <w:t>» та Товариству з обмеженою відповідальністю «</w:t>
            </w:r>
            <w:r w:rsidR="007E2FC6">
              <w:rPr>
                <w:sz w:val="28"/>
                <w:szCs w:val="28"/>
                <w:lang w:val="uk-UA"/>
              </w:rPr>
              <w:t>ДЮК</w:t>
            </w:r>
            <w:r w:rsidR="00DC1899">
              <w:rPr>
                <w:sz w:val="28"/>
                <w:szCs w:val="28"/>
                <w:lang w:val="uk-UA"/>
              </w:rPr>
              <w:t>»</w:t>
            </w:r>
            <w:r w:rsidR="0084713E">
              <w:rPr>
                <w:sz w:val="28"/>
                <w:szCs w:val="28"/>
                <w:lang w:val="uk-UA"/>
              </w:rPr>
              <w:t xml:space="preserve"> </w:t>
            </w:r>
            <w:r w:rsidR="0084713E" w:rsidRPr="00250644">
              <w:rPr>
                <w:sz w:val="28"/>
                <w:szCs w:val="28"/>
                <w:lang w:val="uk-UA"/>
              </w:rPr>
              <w:t>земельн</w:t>
            </w:r>
            <w:r w:rsidR="00C240FF">
              <w:rPr>
                <w:sz w:val="28"/>
                <w:szCs w:val="28"/>
                <w:lang w:val="uk-UA"/>
              </w:rPr>
              <w:t>ої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 ділян</w:t>
            </w:r>
            <w:r w:rsidR="0084713E">
              <w:rPr>
                <w:sz w:val="28"/>
                <w:szCs w:val="28"/>
                <w:lang w:val="uk-UA"/>
              </w:rPr>
              <w:t>к</w:t>
            </w:r>
            <w:r w:rsidR="00C240FF">
              <w:rPr>
                <w:sz w:val="28"/>
                <w:szCs w:val="28"/>
                <w:lang w:val="uk-UA"/>
              </w:rPr>
              <w:t>и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84713E" w:rsidRPr="0025064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4713E" w:rsidRPr="00250644">
              <w:rPr>
                <w:sz w:val="28"/>
                <w:szCs w:val="28"/>
                <w:lang w:val="uk-UA"/>
              </w:rPr>
              <w:t xml:space="preserve">: м. Суми, вул. </w:t>
            </w:r>
            <w:r w:rsidR="007E2FC6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7E2FC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7E2FC6">
              <w:rPr>
                <w:sz w:val="28"/>
                <w:szCs w:val="28"/>
                <w:lang w:val="uk-UA"/>
              </w:rPr>
              <w:t>, 98,</w:t>
            </w:r>
            <w:r w:rsidR="00D40612">
              <w:rPr>
                <w:sz w:val="28"/>
                <w:szCs w:val="28"/>
                <w:lang w:val="uk-UA"/>
              </w:rPr>
              <w:t xml:space="preserve"> площею 0,4264 га,</w:t>
            </w:r>
            <w:r w:rsidR="0084713E">
              <w:rPr>
                <w:sz w:val="28"/>
                <w:szCs w:val="28"/>
                <w:lang w:val="uk-UA"/>
              </w:rPr>
              <w:t xml:space="preserve"> </w:t>
            </w:r>
            <w:r w:rsidR="00DC454A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7E2FC6">
              <w:rPr>
                <w:sz w:val="28"/>
                <w:szCs w:val="28"/>
                <w:lang w:val="uk-UA"/>
              </w:rPr>
              <w:t>5910136300:12:002:0016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DD5184" w:rsidRDefault="00DD5184" w:rsidP="00305AB3">
      <w:pPr>
        <w:ind w:firstLine="720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C240FF" w:rsidRDefault="00C240FF" w:rsidP="00DD5184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796962" w:rsidP="00DD5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DC1899">
        <w:rPr>
          <w:sz w:val="28"/>
          <w:szCs w:val="28"/>
          <w:lang w:val="uk-UA"/>
        </w:rPr>
        <w:t>юридичних осіб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="00D40612">
        <w:rPr>
          <w:sz w:val="28"/>
          <w:szCs w:val="28"/>
          <w:lang w:val="uk-UA"/>
        </w:rPr>
        <w:t xml:space="preserve"> статті 19 Закону України «Про оренду землі»,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0A3314">
        <w:rPr>
          <w:sz w:val="28"/>
          <w:szCs w:val="28"/>
          <w:lang w:val="uk-UA"/>
        </w:rPr>
        <w:t xml:space="preserve"> (протокол від 19 березня 2024 року № 80</w:t>
      </w:r>
      <w:r w:rsidR="0054062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DD5184" w:rsidRDefault="00DD5184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305AB3" w:rsidRPr="00953D75" w:rsidRDefault="00953D75" w:rsidP="00953D75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40612">
        <w:rPr>
          <w:sz w:val="28"/>
          <w:szCs w:val="28"/>
          <w:lang w:val="uk-UA"/>
        </w:rPr>
        <w:t>Надати в оренду земельну</w:t>
      </w:r>
      <w:r w:rsidR="00305AB3" w:rsidRPr="00953D75">
        <w:rPr>
          <w:sz w:val="28"/>
          <w:szCs w:val="28"/>
          <w:lang w:val="uk-UA"/>
        </w:rPr>
        <w:t xml:space="preserve"> ділян</w:t>
      </w:r>
      <w:r w:rsidR="00392466" w:rsidRPr="00953D75">
        <w:rPr>
          <w:sz w:val="28"/>
          <w:szCs w:val="28"/>
          <w:lang w:val="uk-UA"/>
        </w:rPr>
        <w:t>к</w:t>
      </w:r>
      <w:r w:rsidR="00D40612">
        <w:rPr>
          <w:sz w:val="28"/>
          <w:szCs w:val="28"/>
          <w:lang w:val="uk-UA"/>
        </w:rPr>
        <w:t>у</w:t>
      </w:r>
      <w:r w:rsidR="00305AB3" w:rsidRPr="00953D75">
        <w:rPr>
          <w:sz w:val="28"/>
          <w:szCs w:val="28"/>
          <w:lang w:val="uk-UA"/>
        </w:rPr>
        <w:t xml:space="preserve"> згідно з додатком.</w:t>
      </w:r>
    </w:p>
    <w:p w:rsidR="00305AB3" w:rsidRDefault="00953D75" w:rsidP="00953D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05AB3">
        <w:rPr>
          <w:sz w:val="28"/>
          <w:szCs w:val="28"/>
          <w:lang w:val="uk-UA"/>
        </w:rPr>
        <w:t>В</w:t>
      </w:r>
      <w:r w:rsidR="00305AB3" w:rsidRPr="008134BB">
        <w:rPr>
          <w:sz w:val="28"/>
          <w:szCs w:val="28"/>
          <w:lang w:val="uk-UA"/>
        </w:rPr>
        <w:t>становити орендну плату у р</w:t>
      </w:r>
      <w:r w:rsidR="00305AB3"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="00305AB3" w:rsidRPr="008134BB">
        <w:rPr>
          <w:sz w:val="28"/>
          <w:szCs w:val="28"/>
          <w:lang w:val="uk-UA"/>
        </w:rPr>
        <w:t xml:space="preserve">, зазначеного в графі </w:t>
      </w:r>
      <w:r w:rsidR="00305AB3">
        <w:rPr>
          <w:sz w:val="28"/>
          <w:szCs w:val="28"/>
          <w:lang w:val="uk-UA"/>
        </w:rPr>
        <w:t>6 додатку до рішення</w:t>
      </w:r>
      <w:r w:rsidR="00305AB3" w:rsidRPr="008134BB">
        <w:rPr>
          <w:sz w:val="28"/>
          <w:szCs w:val="28"/>
          <w:lang w:val="uk-UA"/>
        </w:rPr>
        <w:t>.</w:t>
      </w:r>
    </w:p>
    <w:p w:rsidR="00305AB3" w:rsidRDefault="00953D75" w:rsidP="00953D75">
      <w:pPr>
        <w:tabs>
          <w:tab w:val="left" w:pos="567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E2FC6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7E2FC6">
        <w:rPr>
          <w:sz w:val="28"/>
          <w:szCs w:val="28"/>
          <w:lang w:val="uk-UA"/>
        </w:rPr>
        <w:t>Ремвзуття</w:t>
      </w:r>
      <w:proofErr w:type="spellEnd"/>
      <w:r w:rsidR="007E2FC6">
        <w:rPr>
          <w:sz w:val="28"/>
          <w:szCs w:val="28"/>
          <w:lang w:val="uk-UA"/>
        </w:rPr>
        <w:t xml:space="preserve">» та Товариству з обмеженою відповідальністю «ДЮК» </w:t>
      </w:r>
      <w:r w:rsidR="00305AB3">
        <w:rPr>
          <w:sz w:val="28"/>
          <w:szCs w:val="28"/>
          <w:lang w:val="uk-UA"/>
        </w:rPr>
        <w:t>в місячний термін після п</w:t>
      </w:r>
      <w:r w:rsidR="007150BD">
        <w:rPr>
          <w:sz w:val="28"/>
          <w:szCs w:val="28"/>
          <w:lang w:val="uk-UA"/>
        </w:rPr>
        <w:t>рийняття рішення звернутися до Д</w:t>
      </w:r>
      <w:r w:rsidR="00305AB3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 w:rsidR="00305AB3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C32FB" w:rsidRDefault="00DD5184" w:rsidP="002B3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</w:t>
      </w:r>
      <w:r w:rsidR="00DC1899">
        <w:rPr>
          <w:sz w:val="28"/>
          <w:szCs w:val="28"/>
          <w:lang w:val="uk-UA"/>
        </w:rPr>
        <w:t>юридичним особам</w:t>
      </w:r>
      <w:r w:rsidR="00AC32FB">
        <w:rPr>
          <w:sz w:val="28"/>
          <w:szCs w:val="28"/>
          <w:lang w:val="uk-UA"/>
        </w:rPr>
        <w:t xml:space="preserve">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</w:t>
      </w:r>
      <w:r w:rsidR="00AC32FB">
        <w:rPr>
          <w:sz w:val="28"/>
          <w:szCs w:val="28"/>
          <w:lang w:val="uk-UA"/>
        </w:rPr>
        <w:lastRenderedPageBreak/>
        <w:t>нормативно-правових актів на дату припинення або скасування воєнного стану в Україні.</w:t>
      </w:r>
    </w:p>
    <w:p w:rsidR="00B4735C" w:rsidRDefault="00B4735C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305AB3" w:rsidRPr="001D19F4" w:rsidRDefault="00D26242" w:rsidP="00305AB3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D26242" w:rsidRDefault="00D26242" w:rsidP="00305AB3">
      <w:pPr>
        <w:jc w:val="both"/>
        <w:rPr>
          <w:sz w:val="24"/>
          <w:szCs w:val="24"/>
          <w:lang w:val="uk-UA"/>
        </w:rPr>
      </w:pPr>
    </w:p>
    <w:p w:rsidR="00D26242" w:rsidRDefault="00D26242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394D4B" w:rsidRDefault="00394D4B" w:rsidP="00305AB3">
      <w:pPr>
        <w:ind w:right="174"/>
        <w:jc w:val="both"/>
        <w:rPr>
          <w:sz w:val="24"/>
          <w:szCs w:val="24"/>
          <w:lang w:val="uk-UA"/>
        </w:rPr>
      </w:pPr>
    </w:p>
    <w:p w:rsidR="00394D4B" w:rsidRDefault="00394D4B" w:rsidP="00305AB3">
      <w:pPr>
        <w:ind w:right="174"/>
        <w:jc w:val="both"/>
        <w:rPr>
          <w:sz w:val="24"/>
          <w:szCs w:val="24"/>
          <w:lang w:val="uk-UA"/>
        </w:rPr>
      </w:pPr>
    </w:p>
    <w:p w:rsidR="00394D4B" w:rsidRDefault="00394D4B" w:rsidP="00305AB3">
      <w:pPr>
        <w:ind w:right="174"/>
        <w:jc w:val="both"/>
        <w:rPr>
          <w:sz w:val="24"/>
          <w:szCs w:val="24"/>
          <w:lang w:val="uk-UA"/>
        </w:rPr>
      </w:pPr>
    </w:p>
    <w:p w:rsidR="00394D4B" w:rsidRDefault="00394D4B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D40612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305AB3" w:rsidRPr="008134BB" w:rsidRDefault="00305AB3" w:rsidP="003F1333">
      <w:pPr>
        <w:tabs>
          <w:tab w:val="left" w:pos="-1683"/>
        </w:tabs>
        <w:ind w:left="822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F1333">
      <w:pPr>
        <w:tabs>
          <w:tab w:val="left" w:pos="9900"/>
        </w:tabs>
        <w:ind w:left="822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F1333">
      <w:pPr>
        <w:tabs>
          <w:tab w:val="left" w:pos="9900"/>
        </w:tabs>
        <w:ind w:left="822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0612" w:rsidRPr="008134BB">
        <w:rPr>
          <w:sz w:val="28"/>
          <w:szCs w:val="28"/>
          <w:lang w:val="uk-UA"/>
        </w:rPr>
        <w:t xml:space="preserve">Про </w:t>
      </w:r>
      <w:r w:rsidR="00D40612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D40612">
        <w:rPr>
          <w:sz w:val="28"/>
          <w:szCs w:val="28"/>
          <w:lang w:val="uk-UA"/>
        </w:rPr>
        <w:t>Ремвзуття</w:t>
      </w:r>
      <w:proofErr w:type="spellEnd"/>
      <w:r w:rsidR="00D40612">
        <w:rPr>
          <w:sz w:val="28"/>
          <w:szCs w:val="28"/>
          <w:lang w:val="uk-UA"/>
        </w:rPr>
        <w:t xml:space="preserve">» та Товариству з обмеженою відповідальністю «ДЮК» </w:t>
      </w:r>
      <w:r w:rsidR="00D40612" w:rsidRPr="00250644">
        <w:rPr>
          <w:sz w:val="28"/>
          <w:szCs w:val="28"/>
          <w:lang w:val="uk-UA"/>
        </w:rPr>
        <w:t>земельн</w:t>
      </w:r>
      <w:r w:rsidR="00D40612">
        <w:rPr>
          <w:sz w:val="28"/>
          <w:szCs w:val="28"/>
          <w:lang w:val="uk-UA"/>
        </w:rPr>
        <w:t>ої</w:t>
      </w:r>
      <w:r w:rsidR="00D40612" w:rsidRPr="00250644">
        <w:rPr>
          <w:sz w:val="28"/>
          <w:szCs w:val="28"/>
          <w:lang w:val="uk-UA"/>
        </w:rPr>
        <w:t xml:space="preserve"> ділян</w:t>
      </w:r>
      <w:r w:rsidR="00D40612">
        <w:rPr>
          <w:sz w:val="28"/>
          <w:szCs w:val="28"/>
          <w:lang w:val="uk-UA"/>
        </w:rPr>
        <w:t>ки</w:t>
      </w:r>
      <w:r w:rsidR="00D40612" w:rsidRPr="00250644">
        <w:rPr>
          <w:sz w:val="28"/>
          <w:szCs w:val="28"/>
          <w:lang w:val="uk-UA"/>
        </w:rPr>
        <w:t xml:space="preserve"> за </w:t>
      </w:r>
      <w:proofErr w:type="spellStart"/>
      <w:r w:rsidR="00D40612" w:rsidRPr="00250644">
        <w:rPr>
          <w:sz w:val="28"/>
          <w:szCs w:val="28"/>
          <w:lang w:val="uk-UA"/>
        </w:rPr>
        <w:t>адресою</w:t>
      </w:r>
      <w:proofErr w:type="spellEnd"/>
      <w:r w:rsidR="00D40612" w:rsidRPr="00250644">
        <w:rPr>
          <w:sz w:val="28"/>
          <w:szCs w:val="28"/>
          <w:lang w:val="uk-UA"/>
        </w:rPr>
        <w:t xml:space="preserve">: м. Суми, вул. </w:t>
      </w:r>
      <w:r w:rsidR="00D40612">
        <w:rPr>
          <w:sz w:val="28"/>
          <w:szCs w:val="28"/>
          <w:lang w:val="uk-UA"/>
        </w:rPr>
        <w:t xml:space="preserve">Герасима </w:t>
      </w:r>
      <w:proofErr w:type="spellStart"/>
      <w:r w:rsidR="00D40612">
        <w:rPr>
          <w:sz w:val="28"/>
          <w:szCs w:val="28"/>
          <w:lang w:val="uk-UA"/>
        </w:rPr>
        <w:t>Кондратьєва</w:t>
      </w:r>
      <w:proofErr w:type="spellEnd"/>
      <w:r w:rsidR="00D40612">
        <w:rPr>
          <w:sz w:val="28"/>
          <w:szCs w:val="28"/>
          <w:lang w:val="uk-UA"/>
        </w:rPr>
        <w:t>, 98, площею 0,4264 га, кадастровий номер 5910136300:12:002:0016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F1333">
      <w:pPr>
        <w:tabs>
          <w:tab w:val="left" w:pos="9900"/>
        </w:tabs>
        <w:ind w:left="822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3A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392466"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DC1899" w:rsidRDefault="00DC1899" w:rsidP="00DC1899">
      <w:pPr>
        <w:jc w:val="center"/>
        <w:rPr>
          <w:sz w:val="28"/>
          <w:szCs w:val="28"/>
          <w:lang w:val="uk-UA"/>
        </w:rPr>
      </w:pPr>
    </w:p>
    <w:p w:rsidR="00DC1899" w:rsidRPr="00E404AB" w:rsidRDefault="00DC1899" w:rsidP="00DC1899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DC1899" w:rsidRPr="006C2AF4" w:rsidRDefault="00DC1899" w:rsidP="00DC18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-63" w:tblpY="1"/>
        <w:tblOverlap w:val="never"/>
        <w:tblW w:w="4998" w:type="pct"/>
        <w:tblLayout w:type="fixed"/>
        <w:tblLook w:val="0000" w:firstRow="0" w:lastRow="0" w:firstColumn="0" w:lastColumn="0" w:noHBand="0" w:noVBand="0"/>
      </w:tblPr>
      <w:tblGrid>
        <w:gridCol w:w="563"/>
        <w:gridCol w:w="2125"/>
        <w:gridCol w:w="5111"/>
        <w:gridCol w:w="1458"/>
        <w:gridCol w:w="2366"/>
        <w:gridCol w:w="2931"/>
      </w:tblGrid>
      <w:tr w:rsidR="00DC1899" w:rsidRPr="004F580C" w:rsidTr="0021580C">
        <w:trPr>
          <w:cantSplit/>
          <w:trHeight w:val="168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99" w:rsidRPr="00DB3632" w:rsidRDefault="00DC1899" w:rsidP="0021580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C1899" w:rsidRPr="00DB3632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C1899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99" w:rsidRPr="00862403" w:rsidRDefault="00DC1899" w:rsidP="0021580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C1899" w:rsidRPr="004F580C" w:rsidTr="0021580C">
        <w:trPr>
          <w:cantSplit/>
          <w:trHeight w:val="3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9" w:rsidRPr="004F580C" w:rsidRDefault="00DC1899" w:rsidP="0021580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9" w:rsidRPr="004F580C" w:rsidRDefault="00DC1899" w:rsidP="0021580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9" w:rsidRPr="004F580C" w:rsidRDefault="00DC1899" w:rsidP="0021580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9" w:rsidRPr="004F580C" w:rsidRDefault="00DC1899" w:rsidP="0021580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9" w:rsidRPr="004F580C" w:rsidRDefault="00DC1899" w:rsidP="0021580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9" w:rsidRPr="004F580C" w:rsidRDefault="00DC1899" w:rsidP="002158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C1899" w:rsidRPr="00392466" w:rsidTr="0021580C">
        <w:trPr>
          <w:cantSplit/>
          <w:trHeight w:val="3206"/>
        </w:trPr>
        <w:tc>
          <w:tcPr>
            <w:tcW w:w="193" w:type="pct"/>
            <w:shd w:val="clear" w:color="auto" w:fill="auto"/>
          </w:tcPr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Pr="003F1333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30" w:type="pct"/>
            <w:shd w:val="clear" w:color="auto" w:fill="auto"/>
          </w:tcPr>
          <w:p w:rsidR="00DC1899" w:rsidRPr="003F1333" w:rsidRDefault="00DC1899" w:rsidP="0021580C">
            <w:pPr>
              <w:ind w:left="-108" w:right="-106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Товариство з обмеженою відповідальністю «</w:t>
            </w:r>
            <w:proofErr w:type="spellStart"/>
            <w:r w:rsidR="007E2FC6">
              <w:rPr>
                <w:color w:val="000000" w:themeColor="text1"/>
                <w:sz w:val="28"/>
                <w:szCs w:val="28"/>
                <w:lang w:val="uk-UA"/>
              </w:rPr>
              <w:t>Ремвзуття</w:t>
            </w:r>
            <w:proofErr w:type="spellEnd"/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»,</w:t>
            </w:r>
          </w:p>
          <w:p w:rsidR="00DC1899" w:rsidRDefault="00DC1899" w:rsidP="0021580C">
            <w:pPr>
              <w:ind w:left="-108"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8"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8"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8"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8"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Pr="00034EE6" w:rsidRDefault="008A141E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Товариство з обмеженою відповідальністю «</w:t>
            </w:r>
            <w:r w:rsidR="00964224">
              <w:rPr>
                <w:color w:val="000000" w:themeColor="text1"/>
                <w:sz w:val="28"/>
                <w:szCs w:val="28"/>
                <w:lang w:val="uk-UA"/>
              </w:rPr>
              <w:t>ДЮК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="00DC1899" w:rsidRPr="00034EE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DC1899" w:rsidRDefault="00DC1899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DC1899" w:rsidRDefault="00DC1899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Pr="00034EE6" w:rsidRDefault="00DC1899" w:rsidP="0021580C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56" w:type="pct"/>
            <w:shd w:val="clear" w:color="auto" w:fill="auto"/>
          </w:tcPr>
          <w:p w:rsidR="00DC1899" w:rsidRPr="007E2FC6" w:rsidRDefault="00DC1899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7E2F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Під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виробничими </w:t>
            </w:r>
            <w:r w:rsidR="00953D75" w:rsidRPr="007E2FC6">
              <w:rPr>
                <w:color w:val="000000" w:themeColor="text1"/>
                <w:sz w:val="28"/>
                <w:szCs w:val="28"/>
                <w:lang w:val="uk-UA"/>
              </w:rPr>
              <w:t>приміщенням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  <w:p w:rsidR="00DC1899" w:rsidRPr="007E2FC6" w:rsidRDefault="00DC1899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, 98</w:t>
            </w:r>
          </w:p>
          <w:p w:rsidR="00DC1899" w:rsidRPr="007E2FC6" w:rsidRDefault="007E2FC6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5910136300:12:002:0016</w:t>
            </w:r>
          </w:p>
          <w:p w:rsidR="00DC1899" w:rsidRPr="007E2FC6" w:rsidRDefault="00DC1899" w:rsidP="0021580C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(номер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запису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 про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право власності/довірчої власності в 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Державно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му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 реєстр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 речових прав на нерухоме майно: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43281186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 від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30.07.2021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7E2FC6" w:rsidRPr="007E2FC6">
              <w:rPr>
                <w:color w:val="000000" w:themeColor="text1"/>
                <w:sz w:val="28"/>
                <w:szCs w:val="28"/>
                <w:lang w:val="uk-UA"/>
              </w:rPr>
              <w:t>2423459359101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C1899" w:rsidRDefault="00DC1899" w:rsidP="0021580C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Default="008A141E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13643" w:rsidRDefault="00D13643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E378D" w:rsidRDefault="007E378D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A141E" w:rsidRPr="003F1333" w:rsidRDefault="008A141E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Під </w:t>
            </w:r>
            <w:r w:rsidR="00964224">
              <w:rPr>
                <w:color w:val="000000" w:themeColor="text1"/>
                <w:sz w:val="28"/>
                <w:szCs w:val="28"/>
                <w:lang w:val="uk-UA"/>
              </w:rPr>
              <w:t>виробничим</w:t>
            </w:r>
            <w:r w:rsidR="00D13643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="00964224"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приміщенням</w:t>
            </w:r>
            <w:r w:rsidR="00D13643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  <w:p w:rsidR="00964224" w:rsidRPr="007E2FC6" w:rsidRDefault="00964224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98</w:t>
            </w:r>
          </w:p>
          <w:p w:rsidR="00964224" w:rsidRPr="007E2FC6" w:rsidRDefault="00964224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7E2FC6">
              <w:rPr>
                <w:color w:val="000000" w:themeColor="text1"/>
                <w:sz w:val="28"/>
                <w:szCs w:val="28"/>
                <w:lang w:val="uk-UA"/>
              </w:rPr>
              <w:t>5910136300:12:002:0016</w:t>
            </w:r>
          </w:p>
          <w:p w:rsidR="008A141E" w:rsidRDefault="008A141E" w:rsidP="0021580C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(номер відомостей про речове право </w:t>
            </w:r>
            <w:r w:rsidR="00394D4B">
              <w:rPr>
                <w:color w:val="000000" w:themeColor="text1"/>
                <w:sz w:val="28"/>
                <w:szCs w:val="28"/>
                <w:lang w:val="uk-UA"/>
              </w:rPr>
              <w:t>в Державному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 реєстр</w:t>
            </w:r>
            <w:r w:rsidR="00394D4B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 речових прав на нерухоме майно: </w:t>
            </w:r>
            <w:r w:rsidR="00394D4B">
              <w:rPr>
                <w:color w:val="000000" w:themeColor="text1"/>
                <w:sz w:val="28"/>
                <w:szCs w:val="28"/>
                <w:lang w:val="uk-UA"/>
              </w:rPr>
              <w:t>30644401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 від </w:t>
            </w:r>
            <w:r w:rsidR="00394D4B">
              <w:rPr>
                <w:color w:val="000000" w:themeColor="text1"/>
                <w:sz w:val="28"/>
                <w:szCs w:val="28"/>
                <w:lang w:val="uk-UA"/>
              </w:rPr>
              <w:t>05.03.2019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394D4B">
              <w:rPr>
                <w:color w:val="000000" w:themeColor="text1"/>
                <w:sz w:val="28"/>
                <w:szCs w:val="28"/>
                <w:lang w:val="uk-UA"/>
              </w:rPr>
              <w:t>1783462559101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A141E" w:rsidRDefault="008A141E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Pr="003F1333" w:rsidRDefault="00DC1899" w:rsidP="0021580C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DC1899" w:rsidRDefault="007E2FC6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88/100</w:t>
            </w:r>
          </w:p>
          <w:p w:rsidR="007E2FC6" w:rsidRDefault="007E2FC6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</w:t>
            </w:r>
          </w:p>
          <w:p w:rsidR="007E2FC6" w:rsidRDefault="007E2FC6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0,4264</w:t>
            </w:r>
          </w:p>
          <w:p w:rsidR="00953D75" w:rsidRPr="003F1333" w:rsidRDefault="00953D75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931386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7E2FC6">
              <w:rPr>
                <w:color w:val="000000" w:themeColor="text1"/>
                <w:sz w:val="28"/>
                <w:szCs w:val="28"/>
                <w:lang w:val="uk-UA"/>
              </w:rPr>
              <w:t xml:space="preserve"> років</w:t>
            </w: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4D4B" w:rsidRDefault="00394D4B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12/100</w:t>
            </w:r>
          </w:p>
          <w:p w:rsidR="00394D4B" w:rsidRDefault="00394D4B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</w:t>
            </w:r>
          </w:p>
          <w:p w:rsidR="00394D4B" w:rsidRDefault="00394D4B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0,4264</w:t>
            </w:r>
          </w:p>
          <w:p w:rsidR="00394D4B" w:rsidRDefault="00394D4B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4D4B" w:rsidRDefault="00931386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394D4B">
              <w:rPr>
                <w:color w:val="000000" w:themeColor="text1"/>
                <w:sz w:val="28"/>
                <w:szCs w:val="28"/>
                <w:lang w:val="uk-UA"/>
              </w:rPr>
              <w:t xml:space="preserve"> років</w:t>
            </w:r>
          </w:p>
          <w:p w:rsidR="00DC1899" w:rsidRPr="003F1333" w:rsidRDefault="00DC1899" w:rsidP="0021580C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3" w:type="pct"/>
            <w:shd w:val="clear" w:color="auto" w:fill="auto"/>
          </w:tcPr>
          <w:p w:rsidR="00DC1899" w:rsidRDefault="00DC1899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</w:t>
            </w:r>
            <w:r w:rsidR="007E2FC6">
              <w:rPr>
                <w:color w:val="000000" w:themeColor="text1"/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Pr="003F1333" w:rsidRDefault="00F669F7" w:rsidP="0021580C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007" w:type="pct"/>
            <w:shd w:val="clear" w:color="auto" w:fill="auto"/>
          </w:tcPr>
          <w:p w:rsidR="00DC1899" w:rsidRPr="003F1333" w:rsidRDefault="00953D75" w:rsidP="0021580C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="00DC1899" w:rsidRPr="003F1333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  <w:p w:rsidR="00DC1899" w:rsidRPr="003F1333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C1899" w:rsidRPr="003F1333" w:rsidRDefault="00DC1899" w:rsidP="0021580C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953D7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953D75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DC1899" w:rsidRDefault="00DC1899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Default="00F669F7" w:rsidP="0021580C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Pr="003F1333" w:rsidRDefault="00F669F7" w:rsidP="00F669F7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  <w:p w:rsidR="00F669F7" w:rsidRPr="003F1333" w:rsidRDefault="00F669F7" w:rsidP="00F669F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69F7" w:rsidRPr="003F1333" w:rsidRDefault="00F669F7" w:rsidP="00F669F7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F669F7" w:rsidRPr="003F1333" w:rsidRDefault="00F669F7" w:rsidP="00F669F7">
            <w:pPr>
              <w:ind w:left="-112" w:right="-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669F7" w:rsidRPr="003F1333" w:rsidRDefault="00F669F7" w:rsidP="0021580C">
            <w:pPr>
              <w:ind w:left="-112" w:right="-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C1899" w:rsidRPr="003F1333" w:rsidRDefault="00DC1899" w:rsidP="0021580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26242" w:rsidRPr="001D19F4" w:rsidRDefault="00D26242" w:rsidP="00D2624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Default="00C240FF" w:rsidP="00C240FF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Default="00C240FF" w:rsidP="00C240FF">
      <w:pPr>
        <w:jc w:val="both"/>
        <w:rPr>
          <w:sz w:val="24"/>
          <w:szCs w:val="24"/>
          <w:lang w:val="uk-UA"/>
        </w:rPr>
      </w:pPr>
    </w:p>
    <w:p w:rsidR="00C240FF" w:rsidRPr="007E2C1B" w:rsidRDefault="00C240FF" w:rsidP="00C240FF">
      <w:pPr>
        <w:jc w:val="both"/>
        <w:rPr>
          <w:sz w:val="24"/>
          <w:szCs w:val="24"/>
          <w:lang w:val="uk-UA"/>
        </w:rPr>
      </w:pPr>
    </w:p>
    <w:p w:rsidR="00A54412" w:rsidRPr="00305AB3" w:rsidRDefault="00A54412" w:rsidP="00C240FF">
      <w:pPr>
        <w:jc w:val="center"/>
      </w:pPr>
    </w:p>
    <w:sectPr w:rsidR="00A54412" w:rsidRPr="00305AB3" w:rsidSect="00C240F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617"/>
    <w:multiLevelType w:val="hybridMultilevel"/>
    <w:tmpl w:val="475E5A28"/>
    <w:lvl w:ilvl="0" w:tplc="4B043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D1E1B"/>
    <w:multiLevelType w:val="hybridMultilevel"/>
    <w:tmpl w:val="E8B06576"/>
    <w:lvl w:ilvl="0" w:tplc="9418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D368B"/>
    <w:multiLevelType w:val="hybridMultilevel"/>
    <w:tmpl w:val="D1DEE5DC"/>
    <w:lvl w:ilvl="0" w:tplc="24A4F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366BB0"/>
    <w:multiLevelType w:val="hybridMultilevel"/>
    <w:tmpl w:val="556C8248"/>
    <w:lvl w:ilvl="0" w:tplc="05D41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DD748D"/>
    <w:multiLevelType w:val="hybridMultilevel"/>
    <w:tmpl w:val="5172D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4EE6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A3314"/>
    <w:rsid w:val="000B19A1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1580C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6C1A"/>
    <w:rsid w:val="002E36C4"/>
    <w:rsid w:val="00305AB3"/>
    <w:rsid w:val="00321C8A"/>
    <w:rsid w:val="00340947"/>
    <w:rsid w:val="00342D83"/>
    <w:rsid w:val="00346DCA"/>
    <w:rsid w:val="00372AF4"/>
    <w:rsid w:val="00392466"/>
    <w:rsid w:val="00394D4B"/>
    <w:rsid w:val="003A0688"/>
    <w:rsid w:val="003A1A0E"/>
    <w:rsid w:val="003A28B9"/>
    <w:rsid w:val="003B5619"/>
    <w:rsid w:val="003C69A6"/>
    <w:rsid w:val="003D4E84"/>
    <w:rsid w:val="003E0F52"/>
    <w:rsid w:val="003F1333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2FAF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A272E"/>
    <w:rsid w:val="005A3AF1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D1A09"/>
    <w:rsid w:val="007E2FC6"/>
    <w:rsid w:val="007E378D"/>
    <w:rsid w:val="007F289D"/>
    <w:rsid w:val="00800D55"/>
    <w:rsid w:val="00807623"/>
    <w:rsid w:val="00813D00"/>
    <w:rsid w:val="00813E92"/>
    <w:rsid w:val="00836C35"/>
    <w:rsid w:val="00846A05"/>
    <w:rsid w:val="0084713E"/>
    <w:rsid w:val="00860723"/>
    <w:rsid w:val="00871944"/>
    <w:rsid w:val="00883FCA"/>
    <w:rsid w:val="008A141E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386"/>
    <w:rsid w:val="00931817"/>
    <w:rsid w:val="00933A41"/>
    <w:rsid w:val="00944021"/>
    <w:rsid w:val="009458FD"/>
    <w:rsid w:val="00953D75"/>
    <w:rsid w:val="0095517A"/>
    <w:rsid w:val="00962D76"/>
    <w:rsid w:val="00964224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240FF"/>
    <w:rsid w:val="00C41F39"/>
    <w:rsid w:val="00C45456"/>
    <w:rsid w:val="00C45FA8"/>
    <w:rsid w:val="00C578C7"/>
    <w:rsid w:val="00C62A52"/>
    <w:rsid w:val="00C714D7"/>
    <w:rsid w:val="00C73DDD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1A09"/>
    <w:rsid w:val="00CF5091"/>
    <w:rsid w:val="00D12A65"/>
    <w:rsid w:val="00D13643"/>
    <w:rsid w:val="00D24437"/>
    <w:rsid w:val="00D26242"/>
    <w:rsid w:val="00D32038"/>
    <w:rsid w:val="00D36242"/>
    <w:rsid w:val="00D40612"/>
    <w:rsid w:val="00D47083"/>
    <w:rsid w:val="00D61391"/>
    <w:rsid w:val="00D62A7F"/>
    <w:rsid w:val="00D66F72"/>
    <w:rsid w:val="00D72800"/>
    <w:rsid w:val="00D816A3"/>
    <w:rsid w:val="00D82BCE"/>
    <w:rsid w:val="00D956A5"/>
    <w:rsid w:val="00D96642"/>
    <w:rsid w:val="00DC1899"/>
    <w:rsid w:val="00DC454A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6614F"/>
    <w:rsid w:val="00E87030"/>
    <w:rsid w:val="00E93205"/>
    <w:rsid w:val="00E93A94"/>
    <w:rsid w:val="00E95DDE"/>
    <w:rsid w:val="00E95ECB"/>
    <w:rsid w:val="00EA363F"/>
    <w:rsid w:val="00EA3EB1"/>
    <w:rsid w:val="00EA4E95"/>
    <w:rsid w:val="00EA6F7A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37BF"/>
    <w:rsid w:val="00F669F7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CDB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613E-E7ED-4CCB-B856-9E58F41C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2024-03-21T12:30:00Z</cp:lastPrinted>
  <dcterms:created xsi:type="dcterms:W3CDTF">2024-04-01T06:55:00Z</dcterms:created>
  <dcterms:modified xsi:type="dcterms:W3CDTF">2024-04-01T06:55:00Z</dcterms:modified>
</cp:coreProperties>
</file>