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A" w:rsidRPr="001A481B" w:rsidRDefault="00E9629A" w:rsidP="00E9629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29A" w:rsidRDefault="00E9629A" w:rsidP="00E9629A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1A481B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81B">
        <w:rPr>
          <w:rFonts w:ascii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81B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 ради «</w:t>
      </w:r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Президента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Верховної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мешканців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міста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Суми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енергетичної</w:t>
      </w:r>
      <w:proofErr w:type="spellEnd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2A16" w:rsidRPr="0034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</w:t>
      </w:r>
      <w:proofErr w:type="spellEnd"/>
      <w:r w:rsidRPr="001A481B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</w:p>
    <w:p w:rsidR="00E9629A" w:rsidRPr="001A481B" w:rsidRDefault="00E9629A" w:rsidP="00E9629A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8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48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2022 року №  </w:t>
      </w:r>
      <w:r w:rsidRPr="001A481B">
        <w:rPr>
          <w:rFonts w:ascii="Times New Roman" w:hAnsi="Times New Roman" w:cs="Times New Roman"/>
          <w:sz w:val="28"/>
          <w:szCs w:val="28"/>
        </w:rPr>
        <w:t xml:space="preserve">    - МР</w:t>
      </w:r>
    </w:p>
    <w:p w:rsidR="00E9629A" w:rsidRDefault="00E9629A" w:rsidP="00E9629A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29A" w:rsidRPr="001A481B" w:rsidRDefault="00E9629A" w:rsidP="00E9629A">
      <w:pPr>
        <w:tabs>
          <w:tab w:val="left" w:pos="6663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9629A" w:rsidRPr="000E63A3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Президенту </w:t>
      </w:r>
      <w:proofErr w:type="spellStart"/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E9629A" w:rsidRPr="000E63A3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Володимиру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ЗЕЛЕНСЬКОМУ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02000,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11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63A3">
        <w:rPr>
          <w:rFonts w:ascii="Times New Roman" w:hAnsi="Times New Roman" w:cs="Times New Roman"/>
          <w:b/>
          <w:sz w:val="28"/>
          <w:szCs w:val="28"/>
          <w:lang w:eastAsia="ru-RU"/>
        </w:rPr>
        <w:t>Голові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Верховної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Руслану СТЕФАНЧУКУ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01008,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Прем</w:t>
      </w:r>
      <w:r w:rsidRPr="0034415A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єр-міністру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Денису ШМИГАЛЮ</w:t>
      </w:r>
    </w:p>
    <w:p w:rsidR="00E9629A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01008,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9629A" w:rsidRPr="001A481B" w:rsidRDefault="00E9629A" w:rsidP="00E9629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E63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E63A3">
        <w:rPr>
          <w:rFonts w:ascii="Times New Roman" w:hAnsi="Times New Roman" w:cs="Times New Roman"/>
          <w:sz w:val="28"/>
          <w:szCs w:val="28"/>
          <w:lang w:eastAsia="ru-RU"/>
        </w:rPr>
        <w:t>Грушевського</w:t>
      </w:r>
      <w:proofErr w:type="spellEnd"/>
      <w:r w:rsidRPr="000E63A3">
        <w:rPr>
          <w:rFonts w:ascii="Times New Roman" w:hAnsi="Times New Roman" w:cs="Times New Roman"/>
          <w:sz w:val="28"/>
          <w:szCs w:val="28"/>
          <w:lang w:eastAsia="ru-RU"/>
        </w:rPr>
        <w:t>, 12/2</w:t>
      </w:r>
    </w:p>
    <w:p w:rsidR="00E9629A" w:rsidRDefault="00E9629A" w:rsidP="008C7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227D" w:rsidRPr="00E9629A" w:rsidRDefault="005E227D" w:rsidP="008C7C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CB6" w:rsidRDefault="008C7CB6" w:rsidP="005E227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25D42">
        <w:rPr>
          <w:rFonts w:ascii="Times New Roman" w:hAnsi="Times New Roman" w:cs="Times New Roman"/>
          <w:sz w:val="28"/>
          <w:szCs w:val="28"/>
          <w:lang w:val="uk-UA"/>
        </w:rPr>
        <w:t xml:space="preserve">До Сумської міської ради листом від 13.09.2022 № 3636 звернулося </w:t>
      </w:r>
      <w:r w:rsidR="00D55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25D42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525D42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525D42">
        <w:rPr>
          <w:rFonts w:ascii="Times New Roman" w:hAnsi="Times New Roman" w:cs="Times New Roman"/>
          <w:sz w:val="28"/>
          <w:szCs w:val="28"/>
          <w:lang w:val="uk-UA"/>
        </w:rPr>
        <w:t xml:space="preserve">» щодо </w:t>
      </w:r>
      <w:r w:rsidRPr="00525D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обсягів та відновлення відвантаження вугілля 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потреб Сумської ТЕЦ</w:t>
      </w:r>
      <w:r w:rsidRPr="00525D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C7CB6" w:rsidRPr="00EC1680" w:rsidRDefault="008C7CB6" w:rsidP="005E227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 w:bidi="uk-UA"/>
        </w:rPr>
      </w:pP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Сумська ТЕЦ ТОВ «</w:t>
      </w:r>
      <w:proofErr w:type="spellStart"/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36EBD" w:rsidRPr="0063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основним постачальником тепла у місті Суми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36EBD">
        <w:rPr>
          <w:rFonts w:ascii="Times New Roman" w:eastAsia="MS Mincho" w:hAnsi="Times New Roman" w:cs="Times New Roman"/>
          <w:sz w:val="28"/>
          <w:szCs w:val="28"/>
          <w:lang w:val="uk-UA" w:bidi="uk-UA"/>
        </w:rPr>
        <w:t>яка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 покриває 25% ел</w:t>
      </w:r>
      <w:r w:rsidR="00636EBD">
        <w:rPr>
          <w:rFonts w:ascii="Times New Roman" w:eastAsia="MS Mincho" w:hAnsi="Times New Roman" w:cs="Times New Roman"/>
          <w:sz w:val="28"/>
          <w:szCs w:val="28"/>
          <w:lang w:val="uk-UA" w:bidi="uk-UA"/>
        </w:rPr>
        <w:t>ектричних навантажень міста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 т</w:t>
      </w:r>
      <w:r w:rsidR="00636EBD">
        <w:rPr>
          <w:rFonts w:ascii="Times New Roman" w:eastAsia="MS Mincho" w:hAnsi="Times New Roman" w:cs="Times New Roman"/>
          <w:sz w:val="28"/>
          <w:szCs w:val="28"/>
          <w:lang w:val="uk-UA" w:bidi="uk-UA"/>
        </w:rPr>
        <w:t>а 71% теплових навантажень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, а це 1041 будинок та 180 тисяч сумчан. </w:t>
      </w:r>
      <w:r w:rsidR="00D55058">
        <w:rPr>
          <w:rFonts w:ascii="Times New Roman" w:eastAsia="MS Mincho" w:hAnsi="Times New Roman" w:cs="Times New Roman"/>
          <w:sz w:val="28"/>
          <w:szCs w:val="28"/>
          <w:lang w:val="uk-UA" w:bidi="uk-UA"/>
        </w:rPr>
        <w:t>Крім того,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 підприємство постачає теплову енергію соціально-важливим об’єктам життєдіяльності міста Суми, таким як лікар</w:t>
      </w:r>
      <w:r w:rsidR="00636EBD">
        <w:rPr>
          <w:rFonts w:ascii="Times New Roman" w:eastAsia="MS Mincho" w:hAnsi="Times New Roman" w:cs="Times New Roman"/>
          <w:sz w:val="28"/>
          <w:szCs w:val="28"/>
          <w:lang w:val="uk-UA" w:bidi="uk-UA"/>
        </w:rPr>
        <w:t>ні, дитячі садки, школи. Всього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 від Сумської ТЕЦ тепло подається до </w:t>
      </w:r>
      <w:r w:rsidR="00BC08F6" w:rsidRPr="00BC08F6">
        <w:rPr>
          <w:rFonts w:ascii="Times New Roman" w:eastAsia="MS Mincho" w:hAnsi="Times New Roman" w:cs="Times New Roman"/>
          <w:sz w:val="28"/>
          <w:szCs w:val="28"/>
          <w:lang w:val="uk-UA" w:bidi="uk-UA"/>
        </w:rPr>
        <w:t>20 лікувальних закладів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, 25 дитячих садочків, </w:t>
      </w:r>
      <w:r w:rsidR="00BC08F6">
        <w:rPr>
          <w:rFonts w:ascii="Times New Roman" w:eastAsia="MS Mincho" w:hAnsi="Times New Roman" w:cs="Times New Roman"/>
          <w:sz w:val="28"/>
          <w:szCs w:val="28"/>
          <w:lang w:val="uk-UA" w:bidi="uk-UA"/>
        </w:rPr>
        <w:t>24 шкільних навчальних закладів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 w:bidi="uk-UA"/>
        </w:rPr>
        <w:t xml:space="preserve">. Зазначені установи не мають інших джерел тепла. </w:t>
      </w:r>
    </w:p>
    <w:p w:rsidR="008C7CB6" w:rsidRPr="00EC1680" w:rsidRDefault="008C7CB6" w:rsidP="005E227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>Основним видом палива, що використовує ТОВ “Сумитеплоенерго” у процесі виробництва теплової енергії</w:t>
      </w:r>
      <w:r w:rsidR="00636EBD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є вугілля</w:t>
      </w:r>
      <w:r w:rsidR="00D55058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марки А, П (антрацит, пісне). У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світі таке вугілля в необхідних для нас обсягах видобувається в Австралії, ПАР та США. </w:t>
      </w:r>
    </w:p>
    <w:p w:rsidR="008C7CB6" w:rsidRPr="00EC1680" w:rsidRDefault="008C7CB6" w:rsidP="005E227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Специфікою роботи обладнання котлоагрегатів ТЕЦ є те, що використання інших марок вугілля неможливе, </w:t>
      </w:r>
      <w:r w:rsidR="00636EBD">
        <w:rPr>
          <w:rFonts w:ascii="Times New Roman" w:eastAsia="MS Mincho" w:hAnsi="Times New Roman" w:cs="Times New Roman"/>
          <w:sz w:val="28"/>
          <w:szCs w:val="28"/>
          <w:lang w:val="uk-UA"/>
        </w:rPr>
        <w:t>оскільки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ТЕЦ </w:t>
      </w:r>
      <w:proofErr w:type="spellStart"/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>спроєктована</w:t>
      </w:r>
      <w:proofErr w:type="spellEnd"/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виключно на роботу на антрацитовій та пісній групі вугілля. </w:t>
      </w:r>
    </w:p>
    <w:p w:rsidR="008C7CB6" w:rsidRPr="00EC1680" w:rsidRDefault="008C7CB6" w:rsidP="005E227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 метою недопущення зупинки ТЕЦ, зростання кінцевих тарифів на теплову енергію та з метою заощадження природного газу, </w:t>
      </w:r>
      <w:r w:rsidR="00636EB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>ТОВ «</w:t>
      </w:r>
      <w:proofErr w:type="spellStart"/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>» за власні кошти розпочало м</w:t>
      </w:r>
      <w:r w:rsidR="00D33D5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одернізацію котлів </w:t>
      </w:r>
      <w:r w:rsidR="00D33D52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Сумської ТЕЦ</w:t>
      </w:r>
      <w:r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для переведення їх на спалювання вугілля марки Г та ДГ, яке видобувається виключно на неокупованій території України.</w:t>
      </w:r>
    </w:p>
    <w:p w:rsidR="008C7CB6" w:rsidRPr="00EC1680" w:rsidRDefault="00636EBD" w:rsidP="005E227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На даний час завершено роботи на</w:t>
      </w:r>
      <w:r w:rsidR="008C7CB6"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енергетичному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котлі</w:t>
      </w:r>
      <w:proofErr w:type="spellEnd"/>
      <w:r w:rsidR="008C7CB6" w:rsidRPr="00EC168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ст. №1, теплова енергія на якому вже виробляється на вітчизняному вугіллі.</w:t>
      </w:r>
    </w:p>
    <w:p w:rsidR="008C7CB6" w:rsidRPr="00EC1680" w:rsidRDefault="008C7CB6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D42">
        <w:rPr>
          <w:rFonts w:ascii="Times New Roman" w:hAnsi="Times New Roman" w:cs="Times New Roman"/>
          <w:sz w:val="28"/>
          <w:szCs w:val="28"/>
          <w:lang w:val="uk-UA"/>
        </w:rPr>
        <w:t>За інформацією ТОВ «Сумитеплоенерго</w:t>
      </w:r>
      <w:r w:rsidR="008574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сталого проходження опалювального сезону 2022-2023 року 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товариство 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листом від 12.07.2022 року №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2779 надало ДП «</w:t>
      </w:r>
      <w:proofErr w:type="spellStart"/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Укрвугілля</w:t>
      </w:r>
      <w:proofErr w:type="spellEnd"/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прогнозні потреби нео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бхідного обсягу вугілля в обсязі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111,5 тис.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</w:t>
      </w:r>
    </w:p>
    <w:p w:rsidR="008C7CB6" w:rsidRDefault="00BC08F6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Укрвугілля</w:t>
      </w:r>
      <w:proofErr w:type="spellEnd"/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листом від 29.07.2022 року № 0644/06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повідомило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 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що відповідно до постанови Кабінету Міністрів України від 22.07.2022  №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838</w:t>
      </w:r>
      <w:r w:rsidR="0064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458B0" w:rsidRPr="006458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Положення про покладення спеціальних обов’язків на оператора системи передачі для забезпечення загальносуспільних інтересів у процесі функціонування ринку електричної енергії»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державне підприємство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готове відвантажити вугілля для сталої роботи ТЕЦ в обсязі тільки 80 тис.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т., що на 31,5 тис. т</w:t>
      </w:r>
      <w:r w:rsidR="004537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менше від необхідних обс</w:t>
      </w:r>
      <w:r w:rsidR="00636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ягів для сталого проходження осінньо-зимового періоду</w:t>
      </w:r>
      <w:r w:rsidR="008C7CB6"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7CB6" w:rsidRDefault="008C7CB6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 зазначити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погоджених 80 тис. т. на сьогодні відвантажено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очікується лише 18,2 тис. т.</w:t>
      </w:r>
      <w:r w:rsidRPr="00EC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цьому, на складах Сумської ТЕЦ знаходиться всього 25,8 тис. т. вугілля, що є вкрай низьким показником для початку опалювального сезону.</w:t>
      </w:r>
    </w:p>
    <w:p w:rsidR="004537F4" w:rsidRDefault="004537F4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потрібно враховувати, що внаслідок військової агресії зменшено запаси природного газу, знижено тиск в газотранспортній системі, а це може призвести до виникнення надзвичайних ситуацій під час проходження опалювального періоду 2022 – 2023 років.</w:t>
      </w:r>
    </w:p>
    <w:p w:rsidR="004537F4" w:rsidRDefault="004537F4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 зазначити, що проблема стабільного проходження опалювального періоду тільки поглиблюється фактором війни збоку агресора – російської федерації, а обо</w:t>
      </w:r>
      <w:r w:rsid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в’язок ТОВ «</w:t>
      </w:r>
      <w:proofErr w:type="spellStart"/>
      <w:r w:rsid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безперебійно і надійно генерувати електричну енергію, виробляти та постачати теплову енергію споживачам м. Суми, чим забезпечувати </w:t>
      </w:r>
      <w:r w:rsid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гарантії та спокій у місті, не допустити зростання тарифів для споживачів (вартість спожитого природного газу для роботи обладнання Сумської ТЕЦ при відсутності вугілля є значно вищою) і, як наслідок, - соціальної напруги.</w:t>
      </w:r>
    </w:p>
    <w:p w:rsidR="004537F4" w:rsidRPr="004537F4" w:rsidRDefault="004537F4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наш погляд, </w:t>
      </w:r>
      <w:r w:rsidR="0036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Вашої своєчасної підтримки можливо здійснити закупівлю вугілля марки Г та ДГ українського </w:t>
      </w:r>
      <w:r w:rsidR="0036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видобутку в запланованому обсязі </w:t>
      </w:r>
      <w:r w:rsid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6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11,5 тис. т., а оселі сумчан, заклади охорони здоров’я, освіти та соціальної сфери забезпечити теплом, виробленим з цього вугілля.</w:t>
      </w:r>
    </w:p>
    <w:p w:rsidR="00E9629A" w:rsidRDefault="00BC08F6" w:rsidP="005E2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вищевикладене, просимо Вас всебічно посприяти збільшенню обсягів (до 111,5 тис. т.)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відновленню відвантаження вугілля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Укрвугілля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потреб ТОВ «</w:t>
      </w:r>
      <w:proofErr w:type="spellStart"/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C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E227D" w:rsidRPr="005E227D">
        <w:t xml:space="preserve"> </w:t>
      </w:r>
      <w:r w:rsidR="005E227D" w:rsidRPr="005E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постановою Кабінету Міністрів України від 22.07.2022  № 838.</w:t>
      </w:r>
    </w:p>
    <w:p w:rsidR="00E9629A" w:rsidRDefault="00E9629A" w:rsidP="00E9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2A16" w:rsidRDefault="00342A16" w:rsidP="00E9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E9629A" w:rsidRDefault="00E9629A" w:rsidP="00E96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629A" w:rsidRPr="00E9629A" w:rsidRDefault="00E9629A" w:rsidP="00E962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481B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1A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81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1A481B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ЛИСЕНКО</w:t>
      </w:r>
    </w:p>
    <w:p w:rsidR="00E9629A" w:rsidRDefault="00E9629A" w:rsidP="00E96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7B" w:rsidRPr="008C7CB6" w:rsidRDefault="00E9629A" w:rsidP="00E9629A">
      <w:pPr>
        <w:jc w:val="both"/>
        <w:rPr>
          <w:lang w:val="uk-UA"/>
        </w:rPr>
      </w:pPr>
      <w:proofErr w:type="spellStart"/>
      <w:r w:rsidRPr="00DD41A8">
        <w:rPr>
          <w:rFonts w:ascii="Times New Roman" w:hAnsi="Times New Roman" w:cs="Times New Roman"/>
        </w:rPr>
        <w:t>Виконавець</w:t>
      </w:r>
      <w:proofErr w:type="spellEnd"/>
      <w:r w:rsidRPr="00DD41A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uk-UA"/>
        </w:rPr>
        <w:t>Журба Олександр</w:t>
      </w:r>
    </w:p>
    <w:sectPr w:rsidR="0036107B" w:rsidRPr="008C7CB6" w:rsidSect="005E22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FD"/>
    <w:rsid w:val="002C2398"/>
    <w:rsid w:val="00342A16"/>
    <w:rsid w:val="003657B3"/>
    <w:rsid w:val="004537F4"/>
    <w:rsid w:val="005E227D"/>
    <w:rsid w:val="00636EBD"/>
    <w:rsid w:val="006458B0"/>
    <w:rsid w:val="00857461"/>
    <w:rsid w:val="008C7CB6"/>
    <w:rsid w:val="00960429"/>
    <w:rsid w:val="009B65C0"/>
    <w:rsid w:val="00BB5AFD"/>
    <w:rsid w:val="00BC08F6"/>
    <w:rsid w:val="00C12120"/>
    <w:rsid w:val="00D33D52"/>
    <w:rsid w:val="00D55058"/>
    <w:rsid w:val="00E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F32"/>
  <w15:docId w15:val="{E4AFC764-3EEA-49F6-BCFF-2DFA5D5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E962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Pr2</dc:creator>
  <cp:keywords/>
  <dc:description/>
  <cp:lastModifiedBy>Биков Олександр Володимирович</cp:lastModifiedBy>
  <cp:revision>4</cp:revision>
  <cp:lastPrinted>2022-09-14T13:37:00Z</cp:lastPrinted>
  <dcterms:created xsi:type="dcterms:W3CDTF">2022-09-14T11:49:00Z</dcterms:created>
  <dcterms:modified xsi:type="dcterms:W3CDTF">2022-09-14T13:40:00Z</dcterms:modified>
</cp:coreProperties>
</file>