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uk-UA"/>
              </w:rPr>
              <w:t>«___»___________2022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28401E">
              <w:rPr>
                <w:sz w:val="28"/>
                <w:szCs w:val="28"/>
                <w:lang w:val="uk-UA"/>
              </w:rPr>
              <w:t xml:space="preserve"> 2022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 xml:space="preserve">року № _____ </w:t>
            </w:r>
            <w:bookmarkStart w:id="0" w:name="_GoBack"/>
            <w:bookmarkEnd w:id="0"/>
            <w:r w:rsidR="000F1E1E">
              <w:rPr>
                <w:sz w:val="28"/>
                <w:szCs w:val="28"/>
                <w:lang w:val="uk-UA"/>
              </w:rPr>
              <w:t>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0F1E1E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="0028401E">
        <w:rPr>
          <w:sz w:val="28"/>
          <w:szCs w:val="28"/>
          <w:lang w:val="uk-UA"/>
        </w:rPr>
        <w:t>етров</w:t>
      </w:r>
      <w:r>
        <w:rPr>
          <w:sz w:val="28"/>
          <w:szCs w:val="28"/>
          <w:lang w:val="uk-UA"/>
        </w:rPr>
        <w:t xml:space="preserve"> А.Є.)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186B3A" w:rsidP="00186B3A">
      <w:pPr>
        <w:jc w:val="both"/>
        <w:rPr>
          <w:bCs/>
          <w:lang w:val="uk-UA" w:eastAsia="uk-UA"/>
        </w:rPr>
      </w:pPr>
      <w:r w:rsidRPr="00186B3A">
        <w:rPr>
          <w:bCs/>
          <w:lang w:val="uk-UA" w:eastAsia="uk-UA"/>
        </w:rPr>
        <w:t>Виконавець Петров А.Є.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EFE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109B-0B71-4FE8-B9CA-7293C7F3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200</cp:revision>
  <cp:lastPrinted>2022-12-19T06:22:00Z</cp:lastPrinted>
  <dcterms:created xsi:type="dcterms:W3CDTF">2021-05-24T10:24:00Z</dcterms:created>
  <dcterms:modified xsi:type="dcterms:W3CDTF">2022-12-19T06:23:00Z</dcterms:modified>
</cp:coreProperties>
</file>