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B04696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C160D" w:rsidRDefault="00AC160D" w:rsidP="00F36A89">
            <w:pPr>
              <w:keepNext/>
              <w:ind w:left="1309"/>
              <w:jc w:val="center"/>
              <w:outlineLvl w:val="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оприлюднено</w:t>
            </w:r>
          </w:p>
          <w:p w:rsidR="00AC160D" w:rsidRPr="0007329A" w:rsidRDefault="00AC160D" w:rsidP="00F36A89">
            <w:pPr>
              <w:keepNext/>
              <w:ind w:left="1309"/>
              <w:jc w:val="center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 2021 р.</w:t>
            </w:r>
          </w:p>
        </w:tc>
      </w:tr>
    </w:tbl>
    <w:p w:rsidR="00CB6D4E" w:rsidRPr="0007329A" w:rsidRDefault="00CB6D4E" w:rsidP="000B5FB9">
      <w:pPr>
        <w:jc w:val="center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>VI</w:t>
      </w:r>
      <w:r w:rsidR="00B04696">
        <w:rPr>
          <w:kern w:val="2"/>
          <w:sz w:val="28"/>
          <w:szCs w:val="28"/>
          <w:lang w:val="uk-UA"/>
        </w:rPr>
        <w:t>І</w:t>
      </w:r>
      <w:r w:rsidRPr="0007329A">
        <w:rPr>
          <w:kern w:val="2"/>
          <w:sz w:val="28"/>
          <w:szCs w:val="28"/>
          <w:lang w:val="uk-UA"/>
        </w:rPr>
        <w:t xml:space="preserve">І СКЛИКАННЯ </w:t>
      </w:r>
      <w:r w:rsidR="00AC160D">
        <w:rPr>
          <w:kern w:val="2"/>
          <w:sz w:val="28"/>
          <w:szCs w:val="28"/>
          <w:lang w:val="uk-UA"/>
        </w:rPr>
        <w:t xml:space="preserve">      </w:t>
      </w:r>
      <w:r w:rsidR="00C05672">
        <w:rPr>
          <w:kern w:val="2"/>
          <w:sz w:val="28"/>
          <w:szCs w:val="28"/>
          <w:lang w:val="uk-UA"/>
        </w:rPr>
        <w:t xml:space="preserve"> </w:t>
      </w:r>
      <w:r w:rsidRPr="0007329A">
        <w:rPr>
          <w:kern w:val="2"/>
          <w:sz w:val="28"/>
          <w:szCs w:val="28"/>
          <w:lang w:val="uk-UA"/>
        </w:rPr>
        <w:t>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4962"/>
        <w:gridCol w:w="4775"/>
      </w:tblGrid>
      <w:tr w:rsidR="00CB6D4E" w:rsidRPr="0007329A" w:rsidTr="00AE4CC5">
        <w:tc>
          <w:tcPr>
            <w:tcW w:w="4962" w:type="dxa"/>
          </w:tcPr>
          <w:p w:rsidR="00F2187C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AC160D">
              <w:rPr>
                <w:kern w:val="2"/>
                <w:sz w:val="27"/>
                <w:szCs w:val="27"/>
                <w:lang w:val="uk-UA"/>
              </w:rPr>
              <w:t xml:space="preserve">                        </w:t>
            </w:r>
            <w:r>
              <w:rPr>
                <w:kern w:val="2"/>
                <w:sz w:val="27"/>
                <w:szCs w:val="27"/>
                <w:lang w:val="uk-UA"/>
              </w:rPr>
              <w:t>202</w:t>
            </w:r>
            <w:r w:rsidR="00F2187C">
              <w:rPr>
                <w:kern w:val="2"/>
                <w:sz w:val="27"/>
                <w:szCs w:val="27"/>
                <w:lang w:val="uk-UA"/>
              </w:rPr>
              <w:t>1</w:t>
            </w:r>
            <w:r>
              <w:rPr>
                <w:kern w:val="2"/>
                <w:sz w:val="27"/>
                <w:szCs w:val="27"/>
                <w:lang w:val="uk-UA"/>
              </w:rPr>
              <w:t xml:space="preserve">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AC160D">
              <w:rPr>
                <w:kern w:val="2"/>
                <w:sz w:val="27"/>
                <w:szCs w:val="27"/>
                <w:lang w:val="uk-UA"/>
              </w:rPr>
              <w:t xml:space="preserve">       </w:t>
            </w:r>
            <w:r w:rsidR="00F2187C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</w:p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AE4CC5">
        <w:tc>
          <w:tcPr>
            <w:tcW w:w="4962" w:type="dxa"/>
          </w:tcPr>
          <w:p w:rsidR="00CB6D4E" w:rsidRPr="0007329A" w:rsidRDefault="00CB6D4E" w:rsidP="0097577E">
            <w:pPr>
              <w:ind w:left="-105"/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4B1447" w:rsidTr="00AE4CC5">
        <w:tc>
          <w:tcPr>
            <w:tcW w:w="4962" w:type="dxa"/>
          </w:tcPr>
          <w:p w:rsidR="00CB6D4E" w:rsidRDefault="00CB6D4E" w:rsidP="0097577E">
            <w:pPr>
              <w:ind w:left="-105"/>
              <w:jc w:val="both"/>
              <w:rPr>
                <w:sz w:val="28"/>
                <w:szCs w:val="28"/>
                <w:lang w:val="uk-UA" w:eastAsia="uk-UA"/>
              </w:rPr>
            </w:pPr>
            <w:r w:rsidRPr="004B1447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від </w:t>
            </w:r>
            <w:r w:rsidR="00F2187C">
              <w:rPr>
                <w:sz w:val="28"/>
                <w:szCs w:val="28"/>
                <w:lang w:val="uk-UA"/>
              </w:rPr>
              <w:t>04 грудня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20</w:t>
            </w:r>
            <w:r w:rsidR="00F2187C">
              <w:rPr>
                <w:sz w:val="28"/>
                <w:szCs w:val="28"/>
                <w:lang w:val="uk-UA"/>
              </w:rPr>
              <w:t>20</w:t>
            </w:r>
            <w:r w:rsidR="00F2187C" w:rsidRPr="00A4614E">
              <w:rPr>
                <w:sz w:val="28"/>
                <w:szCs w:val="28"/>
                <w:lang w:val="uk-UA"/>
              </w:rPr>
              <w:t xml:space="preserve"> року </w:t>
            </w:r>
            <w:r w:rsidR="00194AC9">
              <w:rPr>
                <w:sz w:val="28"/>
                <w:szCs w:val="28"/>
                <w:lang w:val="uk-UA"/>
              </w:rPr>
              <w:t xml:space="preserve">               </w:t>
            </w:r>
            <w:r w:rsidR="00F2187C" w:rsidRPr="00A4614E">
              <w:rPr>
                <w:sz w:val="28"/>
                <w:szCs w:val="28"/>
                <w:lang w:val="uk-UA"/>
              </w:rPr>
              <w:t>№</w:t>
            </w:r>
            <w:r w:rsidR="00194AC9">
              <w:rPr>
                <w:sz w:val="28"/>
                <w:szCs w:val="28"/>
                <w:lang w:val="uk-UA"/>
              </w:rPr>
              <w:t xml:space="preserve"> </w:t>
            </w:r>
            <w:r w:rsidR="00F2187C">
              <w:rPr>
                <w:sz w:val="28"/>
                <w:szCs w:val="28"/>
                <w:lang w:val="uk-UA"/>
              </w:rPr>
              <w:t>1</w:t>
            </w:r>
            <w:r w:rsidR="00F2187C" w:rsidRPr="00A4614E">
              <w:rPr>
                <w:sz w:val="28"/>
                <w:szCs w:val="28"/>
                <w:lang w:val="uk-UA"/>
              </w:rPr>
              <w:t>-МР</w:t>
            </w:r>
            <w:r w:rsidRPr="004B1447">
              <w:rPr>
                <w:kern w:val="2"/>
                <w:sz w:val="28"/>
                <w:szCs w:val="28"/>
                <w:lang w:val="uk-UA"/>
              </w:rPr>
              <w:t xml:space="preserve"> </w:t>
            </w:r>
            <w:r w:rsidRPr="004B1447">
              <w:rPr>
                <w:sz w:val="28"/>
                <w:szCs w:val="28"/>
                <w:lang w:val="uk-UA" w:eastAsia="uk-UA"/>
              </w:rPr>
              <w:t>«</w:t>
            </w:r>
            <w:r w:rsidR="00F2187C" w:rsidRPr="00A4614E">
              <w:rPr>
                <w:sz w:val="28"/>
                <w:szCs w:val="28"/>
                <w:lang w:val="uk-UA"/>
              </w:rPr>
              <w:t>Про затвердження Регламенту роботи Сумської міської ради VI</w:t>
            </w:r>
            <w:r w:rsidR="00F2187C">
              <w:rPr>
                <w:sz w:val="28"/>
                <w:szCs w:val="28"/>
                <w:lang w:val="uk-UA"/>
              </w:rPr>
              <w:t>І</w:t>
            </w:r>
            <w:r w:rsidR="00F2187C" w:rsidRPr="00A4614E">
              <w:rPr>
                <w:sz w:val="28"/>
                <w:szCs w:val="28"/>
                <w:lang w:val="uk-UA"/>
              </w:rPr>
              <w:t>І</w:t>
            </w:r>
            <w:r w:rsidR="00194AC9">
              <w:rPr>
                <w:sz w:val="28"/>
                <w:szCs w:val="28"/>
                <w:lang w:val="uk-UA"/>
              </w:rPr>
              <w:t xml:space="preserve"> </w:t>
            </w:r>
            <w:r w:rsidR="00F2187C" w:rsidRPr="00A4614E">
              <w:rPr>
                <w:sz w:val="28"/>
                <w:szCs w:val="28"/>
                <w:lang w:val="uk-UA"/>
              </w:rPr>
              <w:t>скликання</w:t>
            </w:r>
            <w:r w:rsidR="00A7481F">
              <w:rPr>
                <w:sz w:val="28"/>
                <w:szCs w:val="28"/>
                <w:lang w:val="uk-UA" w:eastAsia="uk-UA"/>
              </w:rPr>
              <w:t>»</w:t>
            </w:r>
            <w:r w:rsidR="00194AC9">
              <w:rPr>
                <w:sz w:val="28"/>
                <w:szCs w:val="28"/>
                <w:lang w:val="uk-UA" w:eastAsia="uk-UA"/>
              </w:rPr>
              <w:t xml:space="preserve"> (зі змінами)</w:t>
            </w:r>
          </w:p>
          <w:p w:rsidR="00A7481F" w:rsidRPr="004B1447" w:rsidRDefault="00A7481F" w:rsidP="0097577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4B1447" w:rsidRDefault="00194AC9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shd w:val="clear" w:color="auto" w:fill="FFFFFF"/>
          <w:lang w:val="uk-UA" w:eastAsia="uk-UA"/>
        </w:rPr>
        <w:t>З метою усунення розбіжностей у нормативному акті</w:t>
      </w:r>
      <w:r w:rsidR="00AE3817">
        <w:rPr>
          <w:rFonts w:ascii="Times New Roman" w:hAnsi="Times New Roman"/>
          <w:b w:val="0"/>
          <w:lang w:val="uk-UA"/>
        </w:rPr>
        <w:t>,</w:t>
      </w:r>
      <w:r w:rsidR="00CB6D4E" w:rsidRPr="004B1447">
        <w:rPr>
          <w:rFonts w:ascii="Times New Roman" w:hAnsi="Times New Roman"/>
          <w:b w:val="0"/>
          <w:shd w:val="clear" w:color="auto" w:fill="FFFFFF"/>
          <w:lang w:val="uk-UA"/>
        </w:rPr>
        <w:t xml:space="preserve"> </w:t>
      </w:r>
      <w:r w:rsidR="00CB6D4E" w:rsidRPr="004B1447">
        <w:rPr>
          <w:rFonts w:ascii="Times New Roman" w:hAnsi="Times New Roman"/>
          <w:b w:val="0"/>
          <w:bCs w:val="0"/>
          <w:lang w:val="uk-UA"/>
        </w:rPr>
        <w:t>к</w:t>
      </w:r>
      <w:r w:rsidR="00CB6D4E" w:rsidRPr="004B1447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="00CB6D4E" w:rsidRPr="004B1447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4B1447">
        <w:rPr>
          <w:b/>
          <w:bCs/>
          <w:sz w:val="28"/>
          <w:szCs w:val="28"/>
          <w:lang w:val="uk-UA"/>
        </w:rPr>
        <w:t>ВИРІШИЛА: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0F45B5" w:rsidRDefault="00CB6D4E" w:rsidP="000F45B5">
      <w:pPr>
        <w:ind w:firstLine="567"/>
        <w:jc w:val="both"/>
        <w:rPr>
          <w:sz w:val="28"/>
          <w:szCs w:val="28"/>
          <w:lang w:val="uk-UA" w:eastAsia="uk-UA"/>
        </w:rPr>
      </w:pPr>
      <w:r w:rsidRPr="004B1447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F3568" w:rsidRPr="004B1447">
        <w:rPr>
          <w:sz w:val="28"/>
          <w:szCs w:val="28"/>
          <w:shd w:val="clear" w:color="auto" w:fill="FFFFFF"/>
          <w:lang w:val="uk-UA" w:eastAsia="uk-UA"/>
        </w:rPr>
        <w:t>У</w:t>
      </w:r>
      <w:r w:rsidRPr="004B1447">
        <w:rPr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B1447">
        <w:rPr>
          <w:sz w:val="28"/>
          <w:szCs w:val="28"/>
          <w:lang w:val="uk-UA" w:eastAsia="uk-UA"/>
        </w:rPr>
        <w:t xml:space="preserve">рішення Сумської міської ради </w:t>
      </w:r>
      <w:r w:rsidR="00F2187C" w:rsidRPr="00A4614E">
        <w:rPr>
          <w:sz w:val="28"/>
          <w:szCs w:val="28"/>
          <w:lang w:val="uk-UA"/>
        </w:rPr>
        <w:t xml:space="preserve">від </w:t>
      </w:r>
      <w:r w:rsidR="00F2187C">
        <w:rPr>
          <w:sz w:val="28"/>
          <w:szCs w:val="28"/>
          <w:lang w:val="uk-UA"/>
        </w:rPr>
        <w:t>04 грудня</w:t>
      </w:r>
      <w:r w:rsidR="00F2187C" w:rsidRPr="00A4614E">
        <w:rPr>
          <w:sz w:val="28"/>
          <w:szCs w:val="28"/>
          <w:lang w:val="uk-UA"/>
        </w:rPr>
        <w:t xml:space="preserve"> 20</w:t>
      </w:r>
      <w:r w:rsidR="00F2187C">
        <w:rPr>
          <w:sz w:val="28"/>
          <w:szCs w:val="28"/>
          <w:lang w:val="uk-UA"/>
        </w:rPr>
        <w:t>20</w:t>
      </w:r>
      <w:r w:rsidR="00194AC9">
        <w:rPr>
          <w:sz w:val="28"/>
          <w:szCs w:val="28"/>
          <w:lang w:val="uk-UA"/>
        </w:rPr>
        <w:t xml:space="preserve"> </w:t>
      </w:r>
      <w:r w:rsidR="00F2187C" w:rsidRPr="00A4614E">
        <w:rPr>
          <w:sz w:val="28"/>
          <w:szCs w:val="28"/>
          <w:lang w:val="uk-UA"/>
        </w:rPr>
        <w:t xml:space="preserve">року № </w:t>
      </w:r>
      <w:r w:rsidR="00F2187C">
        <w:rPr>
          <w:sz w:val="28"/>
          <w:szCs w:val="28"/>
          <w:lang w:val="uk-UA"/>
        </w:rPr>
        <w:t>1</w:t>
      </w:r>
      <w:r w:rsidR="00F2187C" w:rsidRPr="00A4614E">
        <w:rPr>
          <w:sz w:val="28"/>
          <w:szCs w:val="28"/>
          <w:lang w:val="uk-UA"/>
        </w:rPr>
        <w:t>-МР</w:t>
      </w:r>
      <w:r w:rsidR="00F2187C" w:rsidRPr="004B1447">
        <w:rPr>
          <w:kern w:val="2"/>
          <w:sz w:val="28"/>
          <w:szCs w:val="28"/>
          <w:lang w:val="uk-UA"/>
        </w:rPr>
        <w:t xml:space="preserve"> </w:t>
      </w:r>
      <w:r w:rsidR="00F2187C" w:rsidRPr="004B1447">
        <w:rPr>
          <w:sz w:val="28"/>
          <w:szCs w:val="28"/>
          <w:lang w:val="uk-UA" w:eastAsia="uk-UA"/>
        </w:rPr>
        <w:t>«</w:t>
      </w:r>
      <w:r w:rsidR="00F2187C"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 w:rsidR="00F2187C">
        <w:rPr>
          <w:sz w:val="28"/>
          <w:szCs w:val="28"/>
          <w:lang w:val="uk-UA"/>
        </w:rPr>
        <w:t>І</w:t>
      </w:r>
      <w:r w:rsidR="00F2187C" w:rsidRPr="00A4614E">
        <w:rPr>
          <w:sz w:val="28"/>
          <w:szCs w:val="28"/>
          <w:lang w:val="uk-UA"/>
        </w:rPr>
        <w:t>І</w:t>
      </w:r>
      <w:r w:rsidR="00194AC9">
        <w:rPr>
          <w:sz w:val="28"/>
          <w:szCs w:val="28"/>
          <w:lang w:val="uk-UA"/>
        </w:rPr>
        <w:t xml:space="preserve"> </w:t>
      </w:r>
      <w:r w:rsidR="00F2187C" w:rsidRPr="00A4614E">
        <w:rPr>
          <w:sz w:val="28"/>
          <w:szCs w:val="28"/>
          <w:lang w:val="uk-UA"/>
        </w:rPr>
        <w:t>скликання</w:t>
      </w:r>
      <w:r w:rsidR="00A7481F">
        <w:rPr>
          <w:sz w:val="28"/>
          <w:szCs w:val="28"/>
          <w:lang w:val="uk-UA" w:eastAsia="uk-UA"/>
        </w:rPr>
        <w:t>»</w:t>
      </w:r>
      <w:r w:rsidR="00194AC9">
        <w:rPr>
          <w:sz w:val="28"/>
          <w:szCs w:val="28"/>
          <w:lang w:val="uk-UA" w:eastAsia="uk-UA"/>
        </w:rPr>
        <w:t xml:space="preserve"> (зі змінами)</w:t>
      </w:r>
      <w:r w:rsidRPr="00344E4C">
        <w:rPr>
          <w:sz w:val="28"/>
          <w:szCs w:val="28"/>
          <w:lang w:val="uk-UA" w:eastAsia="uk-UA"/>
        </w:rPr>
        <w:t>,</w:t>
      </w:r>
      <w:r w:rsidR="000F45B5">
        <w:rPr>
          <w:sz w:val="28"/>
          <w:szCs w:val="28"/>
          <w:lang w:val="uk-UA" w:eastAsia="uk-UA"/>
        </w:rPr>
        <w:t xml:space="preserve"> а саме</w:t>
      </w:r>
      <w:r w:rsidR="00194AC9">
        <w:rPr>
          <w:sz w:val="28"/>
          <w:szCs w:val="28"/>
          <w:lang w:val="uk-UA" w:eastAsia="uk-UA"/>
        </w:rPr>
        <w:t>,</w:t>
      </w:r>
      <w:r w:rsidR="000F45B5">
        <w:rPr>
          <w:sz w:val="28"/>
          <w:szCs w:val="28"/>
          <w:lang w:val="uk-UA" w:eastAsia="uk-UA"/>
        </w:rPr>
        <w:t xml:space="preserve"> частину 6 статті 30 викласти у новій редакції:</w:t>
      </w:r>
    </w:p>
    <w:p w:rsidR="000F45B5" w:rsidRPr="007F55ED" w:rsidRDefault="000F45B5" w:rsidP="000F4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«</w:t>
      </w:r>
      <w:r w:rsidRPr="007F55ED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7F55ED">
        <w:rPr>
          <w:sz w:val="28"/>
          <w:szCs w:val="28"/>
          <w:lang w:val="uk-UA"/>
        </w:rPr>
        <w:t xml:space="preserve">У разі ініціювання розгляду питання суб’єктами </w:t>
      </w:r>
      <w:proofErr w:type="spellStart"/>
      <w:r w:rsidRPr="007F55ED">
        <w:rPr>
          <w:sz w:val="28"/>
          <w:szCs w:val="28"/>
          <w:lang w:val="uk-UA"/>
        </w:rPr>
        <w:t>нормотворчості</w:t>
      </w:r>
      <w:proofErr w:type="spellEnd"/>
      <w:r w:rsidRPr="007F55ED">
        <w:rPr>
          <w:sz w:val="28"/>
          <w:szCs w:val="28"/>
          <w:lang w:val="uk-UA"/>
        </w:rPr>
        <w:t xml:space="preserve"> визначеними пунктами 2 та 3 статті 26 Регламенту, вони подають на ім’я міського голови супровідний лист (зареєстрований у Відділі з організації діяльності ради) разом з розробленим </w:t>
      </w:r>
      <w:proofErr w:type="spellStart"/>
      <w:r w:rsidRPr="007F55ED">
        <w:rPr>
          <w:sz w:val="28"/>
          <w:szCs w:val="28"/>
          <w:lang w:val="uk-UA"/>
        </w:rPr>
        <w:t>проєктом</w:t>
      </w:r>
      <w:proofErr w:type="spellEnd"/>
      <w:r w:rsidRPr="007F55ED">
        <w:rPr>
          <w:sz w:val="28"/>
          <w:szCs w:val="28"/>
          <w:lang w:val="uk-UA"/>
        </w:rPr>
        <w:t xml:space="preserve"> рішення.</w:t>
      </w:r>
    </w:p>
    <w:p w:rsidR="000F45B5" w:rsidRPr="007F55ED" w:rsidRDefault="000F45B5" w:rsidP="000F45B5">
      <w:pPr>
        <w:ind w:firstLine="567"/>
        <w:jc w:val="both"/>
        <w:rPr>
          <w:sz w:val="28"/>
          <w:szCs w:val="28"/>
          <w:lang w:val="uk-UA"/>
        </w:rPr>
      </w:pPr>
      <w:r w:rsidRPr="007F55ED">
        <w:rPr>
          <w:sz w:val="28"/>
          <w:szCs w:val="28"/>
          <w:lang w:val="uk-UA"/>
        </w:rPr>
        <w:t xml:space="preserve">Працівник Відділу з організації діяльності ради (у разі відповідності оформлення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 вимогам Регламенту по оформленню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 Сумської міської ради, які викладені в додатках до цього Регламенту) реєструє його в Журналі реєстрації </w:t>
      </w:r>
      <w:proofErr w:type="spellStart"/>
      <w:r w:rsidRPr="007F55ED">
        <w:rPr>
          <w:sz w:val="28"/>
          <w:szCs w:val="28"/>
          <w:lang w:val="uk-UA"/>
        </w:rPr>
        <w:t>проєктів</w:t>
      </w:r>
      <w:proofErr w:type="spellEnd"/>
      <w:r w:rsidRPr="007F55ED">
        <w:rPr>
          <w:sz w:val="28"/>
          <w:szCs w:val="28"/>
          <w:lang w:val="uk-UA"/>
        </w:rPr>
        <w:t xml:space="preserve"> рішень міської ради ініціаторами розгляду яких є депутати та депутатські фракції, направляє</w:t>
      </w:r>
      <w:r w:rsidRPr="007F55ED">
        <w:rPr>
          <w:lang w:val="uk-UA"/>
        </w:rPr>
        <w:t xml:space="preserve"> </w:t>
      </w:r>
      <w:r w:rsidRPr="007F55ED">
        <w:rPr>
          <w:sz w:val="28"/>
          <w:szCs w:val="28"/>
          <w:lang w:val="uk-UA"/>
        </w:rPr>
        <w:t xml:space="preserve">копії даного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</w:t>
      </w:r>
      <w:r w:rsidR="00AC160D">
        <w:rPr>
          <w:sz w:val="28"/>
          <w:szCs w:val="28"/>
          <w:lang w:val="uk-UA"/>
        </w:rPr>
        <w:t>,</w:t>
      </w:r>
      <w:r w:rsidRPr="007F55ED">
        <w:rPr>
          <w:sz w:val="28"/>
          <w:szCs w:val="28"/>
          <w:lang w:val="uk-UA"/>
        </w:rPr>
        <w:t xml:space="preserve"> разом з супровідним листом</w:t>
      </w:r>
      <w:r w:rsidR="00AC160D">
        <w:rPr>
          <w:sz w:val="28"/>
          <w:szCs w:val="28"/>
          <w:lang w:val="uk-UA"/>
        </w:rPr>
        <w:t>,</w:t>
      </w:r>
      <w:r w:rsidRPr="007F55ED">
        <w:rPr>
          <w:sz w:val="28"/>
          <w:szCs w:val="28"/>
          <w:lang w:val="uk-UA"/>
        </w:rPr>
        <w:t xml:space="preserve"> одночасно</w:t>
      </w:r>
      <w:r w:rsidR="00AC160D">
        <w:rPr>
          <w:sz w:val="28"/>
          <w:szCs w:val="28"/>
          <w:lang w:val="uk-UA"/>
        </w:rPr>
        <w:t>,</w:t>
      </w:r>
      <w:r w:rsidRPr="007F55ED">
        <w:rPr>
          <w:sz w:val="28"/>
          <w:szCs w:val="28"/>
          <w:lang w:val="uk-UA"/>
        </w:rPr>
        <w:t xml:space="preserve"> всім відповідним посадовим особам виконавчих органів міської ради</w:t>
      </w:r>
      <w:r w:rsidR="00421C3E">
        <w:rPr>
          <w:sz w:val="28"/>
          <w:szCs w:val="28"/>
          <w:lang w:val="uk-UA"/>
        </w:rPr>
        <w:t xml:space="preserve"> (крім правового управління Сумської міської ради)</w:t>
      </w:r>
      <w:r w:rsidRPr="007F55ED">
        <w:rPr>
          <w:sz w:val="28"/>
          <w:szCs w:val="28"/>
          <w:lang w:val="uk-UA"/>
        </w:rPr>
        <w:t xml:space="preserve"> на візування, </w:t>
      </w:r>
      <w:r w:rsidR="00421C3E">
        <w:rPr>
          <w:sz w:val="28"/>
          <w:szCs w:val="28"/>
          <w:lang w:val="uk-UA"/>
        </w:rPr>
        <w:t xml:space="preserve">а також, </w:t>
      </w:r>
      <w:r w:rsidRPr="007F55ED">
        <w:rPr>
          <w:sz w:val="28"/>
          <w:szCs w:val="28"/>
          <w:lang w:val="uk-UA"/>
        </w:rPr>
        <w:t>у разі необхідності</w:t>
      </w:r>
      <w:r w:rsidR="00421C3E">
        <w:rPr>
          <w:sz w:val="28"/>
          <w:szCs w:val="28"/>
          <w:lang w:val="uk-UA"/>
        </w:rPr>
        <w:t>,</w:t>
      </w:r>
      <w:r w:rsidRPr="007F55ED">
        <w:rPr>
          <w:sz w:val="28"/>
          <w:szCs w:val="28"/>
          <w:lang w:val="uk-UA"/>
        </w:rPr>
        <w:t xml:space="preserve"> на розгляд постійним комісіям міської ради (за належністю), контролює своєчасність надання ними висновків, пропозицій, зауважень тощо.</w:t>
      </w:r>
    </w:p>
    <w:p w:rsidR="000F45B5" w:rsidRPr="007F55ED" w:rsidRDefault="000F45B5" w:rsidP="000F45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7F55ED">
        <w:rPr>
          <w:sz w:val="28"/>
          <w:szCs w:val="28"/>
          <w:lang w:val="uk-UA"/>
        </w:rPr>
        <w:t xml:space="preserve">Відповідна посадова особа виконавчих органів міської ради в такому випадку не візує </w:t>
      </w:r>
      <w:proofErr w:type="spellStart"/>
      <w:r w:rsidRPr="007F55ED">
        <w:rPr>
          <w:sz w:val="28"/>
          <w:szCs w:val="28"/>
          <w:lang w:val="uk-UA"/>
        </w:rPr>
        <w:t>проєкт</w:t>
      </w:r>
      <w:proofErr w:type="spellEnd"/>
      <w:r w:rsidRPr="007F55ED">
        <w:rPr>
          <w:sz w:val="28"/>
          <w:szCs w:val="28"/>
          <w:lang w:val="uk-UA"/>
        </w:rPr>
        <w:t xml:space="preserve"> рішення шляхом проставлення свого підпису на листі погодження, а візує його шляхом пі</w:t>
      </w:r>
      <w:r w:rsidR="00194AC9">
        <w:rPr>
          <w:sz w:val="28"/>
          <w:szCs w:val="28"/>
          <w:lang w:val="uk-UA"/>
        </w:rPr>
        <w:t>дготовки та підписання (у строки</w:t>
      </w:r>
      <w:r w:rsidRPr="007F55ED">
        <w:rPr>
          <w:sz w:val="28"/>
          <w:szCs w:val="28"/>
          <w:lang w:val="uk-UA"/>
        </w:rPr>
        <w:t xml:space="preserve"> не більше 2 (двох) робочих днів з дня наступного після його направлення/здачі посадовій особі на візування) висновку на такий </w:t>
      </w:r>
      <w:proofErr w:type="spellStart"/>
      <w:r w:rsidRPr="007F55ED">
        <w:rPr>
          <w:sz w:val="28"/>
          <w:szCs w:val="28"/>
          <w:lang w:val="uk-UA"/>
        </w:rPr>
        <w:t>проєкт</w:t>
      </w:r>
      <w:proofErr w:type="spellEnd"/>
      <w:r w:rsidRPr="007F55ED">
        <w:rPr>
          <w:sz w:val="28"/>
          <w:szCs w:val="28"/>
          <w:lang w:val="uk-UA"/>
        </w:rPr>
        <w:t xml:space="preserve"> рішення (із зазначенням найменування посади особи, що візує документ, її особистого підпису, ініціалів та прізвища, дату підпису). </w:t>
      </w:r>
      <w:r w:rsidRPr="007F55ED">
        <w:rPr>
          <w:sz w:val="28"/>
          <w:szCs w:val="28"/>
          <w:lang w:val="uk-UA"/>
        </w:rPr>
        <w:lastRenderedPageBreak/>
        <w:t>Вказаний висновок посадова особа повинн</w:t>
      </w:r>
      <w:r w:rsidR="001F65FE">
        <w:rPr>
          <w:sz w:val="28"/>
          <w:szCs w:val="28"/>
          <w:lang w:val="uk-UA"/>
        </w:rPr>
        <w:t xml:space="preserve">а надати (не пізніше ніж на 2-й </w:t>
      </w:r>
      <w:r w:rsidRPr="007F55ED">
        <w:rPr>
          <w:sz w:val="28"/>
          <w:szCs w:val="28"/>
          <w:lang w:val="uk-UA"/>
        </w:rPr>
        <w:t xml:space="preserve">(другий) робочий день з моменту отримання нею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рішення) начальнику Відділу з організації діяльності ради для організації подальшого розгляду даного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 відповідними органами.</w:t>
      </w:r>
    </w:p>
    <w:p w:rsidR="000F45B5" w:rsidRPr="007F55ED" w:rsidRDefault="000F45B5" w:rsidP="000F45B5">
      <w:pPr>
        <w:ind w:firstLine="567"/>
        <w:jc w:val="both"/>
        <w:rPr>
          <w:sz w:val="28"/>
          <w:szCs w:val="28"/>
          <w:lang w:val="uk-UA"/>
        </w:rPr>
      </w:pPr>
      <w:r w:rsidRPr="007F55ED">
        <w:rPr>
          <w:sz w:val="28"/>
          <w:szCs w:val="28"/>
          <w:lang w:val="uk-UA"/>
        </w:rPr>
        <w:t xml:space="preserve">Оригінал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з отриманими висновками, пропозиціями, зауваженнями тощо до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 Відділ з організації діяльності ради направляє </w:t>
      </w:r>
      <w:r w:rsidR="001F65FE" w:rsidRPr="007F55ED">
        <w:rPr>
          <w:sz w:val="28"/>
          <w:szCs w:val="28"/>
          <w:lang w:val="uk-UA"/>
        </w:rPr>
        <w:t xml:space="preserve">в Правове управління </w:t>
      </w:r>
      <w:r w:rsidR="001F65FE">
        <w:rPr>
          <w:sz w:val="28"/>
          <w:szCs w:val="28"/>
          <w:lang w:val="uk-UA"/>
        </w:rPr>
        <w:t xml:space="preserve">Сумської міської ради </w:t>
      </w:r>
      <w:r w:rsidRPr="007F55ED">
        <w:rPr>
          <w:sz w:val="28"/>
          <w:szCs w:val="28"/>
          <w:lang w:val="uk-UA"/>
        </w:rPr>
        <w:t>на візування</w:t>
      </w:r>
      <w:r w:rsidR="00194AC9">
        <w:rPr>
          <w:sz w:val="28"/>
          <w:szCs w:val="28"/>
          <w:lang w:val="uk-UA"/>
        </w:rPr>
        <w:t>,</w:t>
      </w:r>
      <w:r w:rsidRPr="007F55ED">
        <w:rPr>
          <w:sz w:val="28"/>
          <w:szCs w:val="28"/>
          <w:lang w:val="uk-UA"/>
        </w:rPr>
        <w:t xml:space="preserve"> </w:t>
      </w:r>
      <w:r w:rsidR="001F65FE">
        <w:rPr>
          <w:sz w:val="28"/>
          <w:szCs w:val="28"/>
          <w:lang w:val="uk-UA"/>
        </w:rPr>
        <w:t>шляхом проставлення</w:t>
      </w:r>
      <w:r w:rsidR="00421C3E" w:rsidRPr="007F55ED">
        <w:rPr>
          <w:sz w:val="28"/>
          <w:szCs w:val="28"/>
          <w:lang w:val="uk-UA"/>
        </w:rPr>
        <w:t xml:space="preserve"> підпису на листі погодження</w:t>
      </w:r>
      <w:r w:rsidR="00AC160D">
        <w:rPr>
          <w:sz w:val="28"/>
          <w:szCs w:val="28"/>
          <w:lang w:val="uk-UA"/>
        </w:rPr>
        <w:t xml:space="preserve"> до </w:t>
      </w:r>
      <w:proofErr w:type="spellStart"/>
      <w:r w:rsidR="00AC160D">
        <w:rPr>
          <w:sz w:val="28"/>
          <w:szCs w:val="28"/>
          <w:lang w:val="uk-UA"/>
        </w:rPr>
        <w:t>проєкту</w:t>
      </w:r>
      <w:proofErr w:type="spellEnd"/>
      <w:r w:rsidR="00AC160D">
        <w:rPr>
          <w:sz w:val="28"/>
          <w:szCs w:val="28"/>
          <w:lang w:val="uk-UA"/>
        </w:rPr>
        <w:t xml:space="preserve"> рішення</w:t>
      </w:r>
      <w:r w:rsidR="00194AC9">
        <w:rPr>
          <w:sz w:val="28"/>
          <w:szCs w:val="28"/>
          <w:lang w:val="uk-UA"/>
        </w:rPr>
        <w:t>,</w:t>
      </w:r>
      <w:r w:rsidR="00421C3E" w:rsidRPr="007F55ED">
        <w:rPr>
          <w:sz w:val="28"/>
          <w:szCs w:val="28"/>
          <w:lang w:val="uk-UA"/>
        </w:rPr>
        <w:t xml:space="preserve"> </w:t>
      </w:r>
      <w:r w:rsidR="00194AC9">
        <w:rPr>
          <w:sz w:val="28"/>
          <w:szCs w:val="28"/>
          <w:lang w:val="uk-UA"/>
        </w:rPr>
        <w:t>у строк</w:t>
      </w:r>
      <w:r w:rsidR="00194AC9" w:rsidRPr="007F55ED">
        <w:rPr>
          <w:sz w:val="28"/>
          <w:szCs w:val="28"/>
          <w:lang w:val="uk-UA"/>
        </w:rPr>
        <w:t xml:space="preserve"> не більше 2 (двох) робочих днів з дня наступного після його направлення/здачі пос</w:t>
      </w:r>
      <w:r w:rsidR="00194AC9">
        <w:rPr>
          <w:sz w:val="28"/>
          <w:szCs w:val="28"/>
          <w:lang w:val="uk-UA"/>
        </w:rPr>
        <w:t>адовій особі на візування</w:t>
      </w:r>
      <w:r w:rsidRPr="007F55ED">
        <w:rPr>
          <w:sz w:val="28"/>
          <w:szCs w:val="28"/>
          <w:lang w:val="uk-UA"/>
        </w:rPr>
        <w:t>.</w:t>
      </w:r>
    </w:p>
    <w:p w:rsidR="00A86EF3" w:rsidRPr="00A037C8" w:rsidRDefault="000F45B5" w:rsidP="000F45B5">
      <w:pPr>
        <w:ind w:firstLine="567"/>
        <w:jc w:val="both"/>
        <w:rPr>
          <w:sz w:val="28"/>
          <w:szCs w:val="28"/>
          <w:lang w:val="uk-UA" w:eastAsia="uk-UA"/>
        </w:rPr>
      </w:pPr>
      <w:r w:rsidRPr="007F55ED">
        <w:rPr>
          <w:sz w:val="28"/>
          <w:szCs w:val="28"/>
          <w:lang w:val="uk-UA"/>
        </w:rPr>
        <w:t xml:space="preserve">У разі невідповідності </w:t>
      </w:r>
      <w:proofErr w:type="spellStart"/>
      <w:r w:rsidRPr="007F55ED">
        <w:rPr>
          <w:sz w:val="28"/>
          <w:szCs w:val="28"/>
          <w:lang w:val="uk-UA"/>
        </w:rPr>
        <w:t>проєкту</w:t>
      </w:r>
      <w:proofErr w:type="spellEnd"/>
      <w:r w:rsidRPr="007F55ED">
        <w:rPr>
          <w:sz w:val="28"/>
          <w:szCs w:val="28"/>
          <w:lang w:val="uk-UA"/>
        </w:rPr>
        <w:t xml:space="preserve"> рішення вимогам чинних нормативно-правових актів Правове управління протягом п’яти робочих днів складає до нього юридичний висновок у встановленому частиною шостою статті 29 Регламенту порядку.</w:t>
      </w:r>
      <w:r w:rsidR="00421C3E">
        <w:rPr>
          <w:sz w:val="28"/>
          <w:szCs w:val="28"/>
          <w:lang w:val="uk-UA"/>
        </w:rPr>
        <w:t>».</w:t>
      </w:r>
    </w:p>
    <w:p w:rsidR="00CB6D4E" w:rsidRPr="00F2187C" w:rsidRDefault="00CB6D4E" w:rsidP="00C05672">
      <w:pPr>
        <w:ind w:firstLine="567"/>
        <w:jc w:val="both"/>
        <w:rPr>
          <w:sz w:val="28"/>
          <w:szCs w:val="28"/>
          <w:lang w:val="uk-UA"/>
        </w:rPr>
      </w:pPr>
      <w:r w:rsidRPr="00F2187C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вебсайті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4B1447" w:rsidRDefault="004B1447" w:rsidP="00CB6D4E">
      <w:pPr>
        <w:jc w:val="both"/>
        <w:rPr>
          <w:sz w:val="28"/>
          <w:szCs w:val="28"/>
          <w:lang w:val="uk-UA"/>
        </w:rPr>
      </w:pPr>
    </w:p>
    <w:p w:rsidR="00A86EF3" w:rsidRDefault="00A86EF3" w:rsidP="00CB6D4E">
      <w:pPr>
        <w:jc w:val="both"/>
        <w:rPr>
          <w:sz w:val="28"/>
          <w:szCs w:val="28"/>
          <w:lang w:val="uk-UA"/>
        </w:rPr>
      </w:pPr>
    </w:p>
    <w:p w:rsidR="004B1447" w:rsidRPr="00E12CE8" w:rsidRDefault="004B1447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="00CA698F">
        <w:rPr>
          <w:sz w:val="28"/>
          <w:szCs w:val="28"/>
          <w:lang w:val="uk-UA"/>
        </w:rPr>
        <w:tab/>
      </w:r>
      <w:r w:rsidR="00A32A7F">
        <w:rPr>
          <w:sz w:val="28"/>
          <w:szCs w:val="28"/>
          <w:lang w:val="uk-UA"/>
        </w:rPr>
        <w:t xml:space="preserve">      </w:t>
      </w:r>
      <w:r w:rsidRPr="004F3568">
        <w:rPr>
          <w:sz w:val="28"/>
          <w:szCs w:val="28"/>
          <w:lang w:val="uk-UA"/>
        </w:rPr>
        <w:t>О.М. Лисенко</w:t>
      </w:r>
    </w:p>
    <w:p w:rsidR="004B1447" w:rsidRPr="004F3568" w:rsidRDefault="004B1447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proofErr w:type="spellStart"/>
      <w:r w:rsidR="00421C3E">
        <w:rPr>
          <w:lang w:val="uk-UA"/>
        </w:rPr>
        <w:t>Чайченко</w:t>
      </w:r>
      <w:proofErr w:type="spellEnd"/>
      <w:r w:rsidR="00421C3E">
        <w:rPr>
          <w:lang w:val="uk-UA"/>
        </w:rPr>
        <w:t xml:space="preserve"> О.В.</w:t>
      </w: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>______</w:t>
      </w:r>
      <w:r w:rsidR="00A32A7F">
        <w:rPr>
          <w:lang w:val="uk-UA"/>
        </w:rPr>
        <w:t>______________</w:t>
      </w:r>
      <w:r>
        <w:rPr>
          <w:lang w:val="uk-UA"/>
        </w:rPr>
        <w:t>____</w:t>
      </w: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C5BD3" w:rsidRDefault="00AC5BD3" w:rsidP="00B16F49">
      <w:pPr>
        <w:tabs>
          <w:tab w:val="left" w:pos="4820"/>
        </w:tabs>
        <w:jc w:val="both"/>
        <w:rPr>
          <w:lang w:val="uk-UA"/>
        </w:rPr>
      </w:pPr>
    </w:p>
    <w:p w:rsidR="00A32A7F" w:rsidRDefault="00A32A7F" w:rsidP="00B16F49">
      <w:pPr>
        <w:tabs>
          <w:tab w:val="left" w:pos="4820"/>
        </w:tabs>
        <w:jc w:val="both"/>
        <w:rPr>
          <w:lang w:val="uk-UA"/>
        </w:rPr>
      </w:pPr>
    </w:p>
    <w:p w:rsidR="00A32A7F" w:rsidRDefault="00A32A7F" w:rsidP="00B16F49">
      <w:pPr>
        <w:tabs>
          <w:tab w:val="left" w:pos="4820"/>
        </w:tabs>
        <w:jc w:val="both"/>
        <w:rPr>
          <w:lang w:val="uk-UA"/>
        </w:rPr>
      </w:pPr>
    </w:p>
    <w:p w:rsidR="00A32A7F" w:rsidRDefault="00A32A7F" w:rsidP="00B16F49">
      <w:pPr>
        <w:tabs>
          <w:tab w:val="left" w:pos="4820"/>
        </w:tabs>
        <w:jc w:val="both"/>
        <w:rPr>
          <w:lang w:val="uk-UA"/>
        </w:rPr>
      </w:pPr>
    </w:p>
    <w:p w:rsidR="00AC5BD3" w:rsidRPr="00AF726B" w:rsidRDefault="00AC5BD3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726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Ініціатор розгляду питання – </w:t>
      </w:r>
      <w:r w:rsidR="00AF726B" w:rsidRPr="00AF726B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</w:p>
    <w:p w:rsidR="00AC5BD3" w:rsidRPr="00AF726B" w:rsidRDefault="00AC5BD3" w:rsidP="00AF726B">
      <w:pPr>
        <w:tabs>
          <w:tab w:val="left" w:pos="4820"/>
        </w:tabs>
        <w:jc w:val="both"/>
        <w:rPr>
          <w:lang w:val="uk-UA"/>
        </w:rPr>
      </w:pPr>
      <w:proofErr w:type="spellStart"/>
      <w:r w:rsidRPr="00AF726B">
        <w:rPr>
          <w:lang w:val="uk-UA"/>
        </w:rPr>
        <w:t>Проєкт</w:t>
      </w:r>
      <w:proofErr w:type="spellEnd"/>
      <w:r w:rsidRPr="00AF726B">
        <w:rPr>
          <w:lang w:val="uk-UA"/>
        </w:rPr>
        <w:t xml:space="preserve"> рішення підготовлено – правовим управлінням Сумської міської ради</w:t>
      </w:r>
    </w:p>
    <w:p w:rsidR="00AC5BD3" w:rsidRPr="00AF726B" w:rsidRDefault="00AC5BD3" w:rsidP="00AF726B">
      <w:pPr>
        <w:tabs>
          <w:tab w:val="left" w:pos="4820"/>
        </w:tabs>
        <w:jc w:val="both"/>
        <w:rPr>
          <w:lang w:val="uk-UA"/>
        </w:rPr>
      </w:pPr>
      <w:r w:rsidRPr="00AF726B">
        <w:rPr>
          <w:lang w:val="uk-UA"/>
        </w:rPr>
        <w:t xml:space="preserve">Доповідач – </w:t>
      </w:r>
      <w:proofErr w:type="spellStart"/>
      <w:r w:rsidRPr="00AF726B">
        <w:rPr>
          <w:lang w:val="uk-UA"/>
        </w:rPr>
        <w:t>Чайченко</w:t>
      </w:r>
      <w:proofErr w:type="spellEnd"/>
      <w:r w:rsidRPr="00AF726B">
        <w:rPr>
          <w:lang w:val="uk-UA"/>
        </w:rPr>
        <w:t xml:space="preserve"> О.В.</w:t>
      </w:r>
    </w:p>
    <w:p w:rsidR="00AC5BD3" w:rsidRDefault="00AC5BD3" w:rsidP="00AC5BD3">
      <w:pPr>
        <w:rPr>
          <w:lang w:val="uk-UA"/>
        </w:rPr>
      </w:pPr>
      <w:r>
        <w:rPr>
          <w:lang w:val="uk-UA"/>
        </w:rPr>
        <w:br w:type="page"/>
      </w:r>
    </w:p>
    <w:p w:rsidR="00DF0321" w:rsidRPr="00AC5BD3" w:rsidRDefault="00AC5BD3" w:rsidP="00AC5BD3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AC5BD3">
        <w:rPr>
          <w:b/>
          <w:sz w:val="28"/>
          <w:szCs w:val="28"/>
          <w:lang w:val="uk-UA"/>
        </w:rPr>
        <w:lastRenderedPageBreak/>
        <w:t>ЛИСТ ПОГОДЖЕННЯ</w:t>
      </w:r>
    </w:p>
    <w:p w:rsidR="00AC5BD3" w:rsidRDefault="00AC5BD3" w:rsidP="00AC5BD3">
      <w:pPr>
        <w:tabs>
          <w:tab w:val="left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C5BD3">
        <w:rPr>
          <w:sz w:val="28"/>
          <w:szCs w:val="28"/>
          <w:lang w:val="uk-UA"/>
        </w:rPr>
        <w:t xml:space="preserve">о </w:t>
      </w:r>
      <w:proofErr w:type="spellStart"/>
      <w:r w:rsidRPr="00AC5BD3">
        <w:rPr>
          <w:sz w:val="28"/>
          <w:szCs w:val="28"/>
          <w:lang w:val="uk-UA"/>
        </w:rPr>
        <w:t>проєкту</w:t>
      </w:r>
      <w:proofErr w:type="spellEnd"/>
      <w:r w:rsidRPr="00AC5BD3">
        <w:rPr>
          <w:sz w:val="28"/>
          <w:szCs w:val="28"/>
          <w:lang w:val="uk-UA"/>
        </w:rPr>
        <w:t xml:space="preserve"> рішення Сумської міської ради</w:t>
      </w:r>
    </w:p>
    <w:p w:rsidR="00AC5BD3" w:rsidRDefault="00AC5BD3" w:rsidP="00AC5BD3">
      <w:pPr>
        <w:tabs>
          <w:tab w:val="left" w:pos="4820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Pr="004B1447">
        <w:rPr>
          <w:sz w:val="28"/>
          <w:szCs w:val="28"/>
          <w:lang w:val="uk-UA" w:eastAsia="uk-UA"/>
        </w:rPr>
        <w:t xml:space="preserve">Про внесення змін до рішення Сумської міської ради </w:t>
      </w:r>
      <w:r w:rsidRPr="00A4614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 грудня</w:t>
      </w:r>
      <w:r w:rsidRPr="00A4614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A4614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 </w:t>
      </w:r>
      <w:r w:rsidRPr="00A4614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</w:t>
      </w:r>
      <w:r w:rsidRPr="00A4614E">
        <w:rPr>
          <w:sz w:val="28"/>
          <w:szCs w:val="28"/>
          <w:lang w:val="uk-UA"/>
        </w:rPr>
        <w:t>-МР</w:t>
      </w:r>
      <w:r w:rsidRPr="004B1447">
        <w:rPr>
          <w:kern w:val="2"/>
          <w:sz w:val="28"/>
          <w:szCs w:val="28"/>
          <w:lang w:val="uk-UA"/>
        </w:rPr>
        <w:t xml:space="preserve"> </w:t>
      </w:r>
      <w:r w:rsidRPr="004B1447">
        <w:rPr>
          <w:sz w:val="28"/>
          <w:szCs w:val="28"/>
          <w:lang w:val="uk-UA" w:eastAsia="uk-UA"/>
        </w:rPr>
        <w:t>«</w:t>
      </w:r>
      <w:r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>
        <w:rPr>
          <w:sz w:val="28"/>
          <w:szCs w:val="28"/>
          <w:lang w:val="uk-UA"/>
        </w:rPr>
        <w:t>І</w:t>
      </w:r>
      <w:r w:rsidRPr="00A461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4614E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 w:eastAsia="uk-UA"/>
        </w:rPr>
        <w:t>» (зі змінами)»</w:t>
      </w: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Начальник правового управління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AF726B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О.В. </w:t>
      </w:r>
      <w:proofErr w:type="spellStart"/>
      <w:r>
        <w:rPr>
          <w:sz w:val="28"/>
          <w:szCs w:val="28"/>
          <w:lang w:val="uk-UA" w:eastAsia="uk-UA"/>
        </w:rPr>
        <w:t>Чайченко</w:t>
      </w:r>
      <w:proofErr w:type="spellEnd"/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F726B" w:rsidRDefault="00AF726B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F726B" w:rsidRPr="00AF726B" w:rsidRDefault="00AF726B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Голова постійної комісії з питань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законності, взаємодії з правоохоронними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органами, запобігання та протидії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корупції, місцевого самоврядування,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регламенту, депутатської діяльності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 етики, з питань майна комунальної</w:t>
      </w:r>
    </w:p>
    <w:p w:rsidR="00AF726B" w:rsidRPr="00AF726B" w:rsidRDefault="00AF726B" w:rsidP="00AF726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власності та приватизації</w:t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</w:r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ab/>
        <w:t xml:space="preserve">О.В. </w:t>
      </w:r>
      <w:proofErr w:type="spellStart"/>
      <w:r w:rsidRPr="00AF726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Зименко</w:t>
      </w:r>
      <w:proofErr w:type="spellEnd"/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F726B" w:rsidRDefault="00AF726B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F726B" w:rsidRPr="00AF726B" w:rsidRDefault="00AF726B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3250CD" w:rsidRDefault="003250CD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Перший заступник міського голови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AF726B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>М.Є. Бондаренко</w:t>
      </w: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3250CD" w:rsidRDefault="003250CD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32A7F" w:rsidRDefault="00A32A7F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AC5BD3" w:rsidRDefault="00AC5BD3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Сумської міської ради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AF726B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О.М. </w:t>
      </w:r>
      <w:proofErr w:type="spellStart"/>
      <w:r>
        <w:rPr>
          <w:sz w:val="28"/>
          <w:szCs w:val="28"/>
          <w:lang w:val="uk-UA" w:eastAsia="uk-UA"/>
        </w:rPr>
        <w:t>Рєзнік</w:t>
      </w:r>
      <w:proofErr w:type="spellEnd"/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Default="00582E47" w:rsidP="00AC5BD3">
      <w:pPr>
        <w:tabs>
          <w:tab w:val="left" w:pos="4820"/>
        </w:tabs>
        <w:rPr>
          <w:sz w:val="28"/>
          <w:szCs w:val="28"/>
          <w:lang w:val="uk-UA" w:eastAsia="uk-UA"/>
        </w:rPr>
      </w:pPr>
    </w:p>
    <w:p w:rsidR="00582E47" w:rsidRPr="00E0375A" w:rsidRDefault="00582E47" w:rsidP="00582E47">
      <w:pPr>
        <w:widowControl w:val="0"/>
        <w:tabs>
          <w:tab w:val="left" w:pos="5490"/>
        </w:tabs>
        <w:autoSpaceDE w:val="0"/>
        <w:autoSpaceDN w:val="0"/>
        <w:adjustRightInd w:val="0"/>
        <w:rPr>
          <w:rFonts w:eastAsia="Calibri"/>
          <w:sz w:val="26"/>
          <w:szCs w:val="26"/>
          <w:lang w:val="uk-UA"/>
        </w:rPr>
      </w:pPr>
      <w:r w:rsidRPr="00E0375A">
        <w:rPr>
          <w:rFonts w:eastAsia="Calibri"/>
          <w:sz w:val="26"/>
          <w:szCs w:val="26"/>
          <w:lang w:val="uk-UA"/>
        </w:rPr>
        <w:t>Бойко О.А.</w:t>
      </w:r>
    </w:p>
    <w:p w:rsidR="00582E47" w:rsidRPr="00E0375A" w:rsidRDefault="00582E47" w:rsidP="00582E4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6"/>
          <w:szCs w:val="26"/>
          <w:lang w:val="uk-UA"/>
        </w:rPr>
      </w:pPr>
      <w:r w:rsidRPr="00E0375A">
        <w:rPr>
          <w:rFonts w:ascii="Times New Roman CYR" w:eastAsia="Calibri" w:hAnsi="Times New Roman CYR" w:cs="Times New Roman CYR"/>
          <w:sz w:val="26"/>
          <w:szCs w:val="26"/>
          <w:lang w:val="uk-UA"/>
        </w:rPr>
        <w:t>700-628</w:t>
      </w:r>
    </w:p>
    <w:p w:rsidR="00582E47" w:rsidRPr="00E0375A" w:rsidRDefault="00582E47" w:rsidP="00582E4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shd w:val="clear" w:color="auto" w:fill="FEFEFE"/>
          <w:lang w:val="uk-UA"/>
        </w:rPr>
      </w:pPr>
      <w:r w:rsidRPr="00E0375A">
        <w:rPr>
          <w:rFonts w:eastAsia="Calibri"/>
          <w:sz w:val="26"/>
          <w:szCs w:val="26"/>
          <w:shd w:val="clear" w:color="auto" w:fill="FEFEFE"/>
          <w:lang w:val="uk-UA"/>
        </w:rPr>
        <w:t>___________________</w:t>
      </w:r>
    </w:p>
    <w:p w:rsidR="00582E47" w:rsidRPr="00E0375A" w:rsidRDefault="00582E47" w:rsidP="00582E4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shd w:val="clear" w:color="auto" w:fill="FEFEFE"/>
          <w:lang w:val="uk-UA"/>
        </w:rPr>
      </w:pPr>
    </w:p>
    <w:p w:rsidR="00582E47" w:rsidRPr="00E0375A" w:rsidRDefault="00582E47" w:rsidP="00582E4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shd w:val="clear" w:color="auto" w:fill="FEFEFE"/>
          <w:lang w:val="uk-UA"/>
        </w:rPr>
      </w:pPr>
      <w:proofErr w:type="spellStart"/>
      <w:r w:rsidRPr="00E0375A">
        <w:rPr>
          <w:rFonts w:eastAsia="Calibri"/>
          <w:sz w:val="26"/>
          <w:szCs w:val="26"/>
          <w:shd w:val="clear" w:color="auto" w:fill="FEFEFE"/>
          <w:lang w:val="uk-UA"/>
        </w:rPr>
        <w:t>Проєкт</w:t>
      </w:r>
      <w:proofErr w:type="spellEnd"/>
      <w:r w:rsidRPr="00E0375A">
        <w:rPr>
          <w:rFonts w:eastAsia="Calibri"/>
          <w:sz w:val="26"/>
          <w:szCs w:val="26"/>
          <w:shd w:val="clear" w:color="auto" w:fill="FEFEFE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</w:t>
      </w:r>
      <w:r w:rsidR="008F3F29" w:rsidRPr="00E0375A">
        <w:rPr>
          <w:rFonts w:eastAsia="Calibri"/>
          <w:sz w:val="26"/>
          <w:szCs w:val="26"/>
          <w:shd w:val="clear" w:color="auto" w:fill="FEFEFE"/>
          <w:lang w:val="uk-UA"/>
        </w:rPr>
        <w:t>персональних даних.</w:t>
      </w:r>
    </w:p>
    <w:p w:rsidR="00582E47" w:rsidRPr="00E0375A" w:rsidRDefault="00582E47" w:rsidP="00582E4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val="uk-UA"/>
        </w:rPr>
      </w:pPr>
    </w:p>
    <w:p w:rsidR="00582E47" w:rsidRPr="00E0375A" w:rsidRDefault="00582E47" w:rsidP="00582E47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proofErr w:type="spellStart"/>
      <w:r w:rsidRPr="00E0375A">
        <w:rPr>
          <w:sz w:val="26"/>
          <w:szCs w:val="26"/>
          <w:lang w:val="uk-UA"/>
        </w:rPr>
        <w:t>Чайченко</w:t>
      </w:r>
      <w:proofErr w:type="spellEnd"/>
      <w:r w:rsidRPr="00E0375A">
        <w:rPr>
          <w:sz w:val="26"/>
          <w:szCs w:val="26"/>
          <w:lang w:val="uk-UA"/>
        </w:rPr>
        <w:t xml:space="preserve"> О.В.</w:t>
      </w:r>
    </w:p>
    <w:p w:rsidR="006205A7" w:rsidRPr="00E0375A" w:rsidRDefault="006205A7" w:rsidP="00582E47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 w:rsidRPr="00E0375A">
        <w:rPr>
          <w:sz w:val="26"/>
          <w:szCs w:val="26"/>
          <w:lang w:val="uk-UA"/>
        </w:rPr>
        <w:t>«___» ___________ 2021 р.</w:t>
      </w:r>
    </w:p>
    <w:p w:rsidR="007E6AA5" w:rsidRPr="00E0375A" w:rsidRDefault="007E6AA5">
      <w:pPr>
        <w:spacing w:after="160" w:line="259" w:lineRule="auto"/>
        <w:rPr>
          <w:sz w:val="26"/>
          <w:szCs w:val="26"/>
          <w:lang w:val="uk-UA"/>
        </w:rPr>
      </w:pPr>
      <w:r w:rsidRPr="00E0375A">
        <w:rPr>
          <w:sz w:val="26"/>
          <w:szCs w:val="26"/>
          <w:lang w:val="uk-UA"/>
        </w:rPr>
        <w:br w:type="page"/>
      </w:r>
    </w:p>
    <w:p w:rsidR="007E6AA5" w:rsidRPr="00D55180" w:rsidRDefault="007E6AA5" w:rsidP="007E6AA5">
      <w:pPr>
        <w:ind w:right="850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lastRenderedPageBreak/>
        <w:t>ПОРІВНЯЛЬНА ТАБЛИЦЯ</w:t>
      </w:r>
    </w:p>
    <w:p w:rsidR="007E6AA5" w:rsidRDefault="007E6AA5" w:rsidP="007E6AA5">
      <w:pPr>
        <w:tabs>
          <w:tab w:val="left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C5BD3">
        <w:rPr>
          <w:sz w:val="28"/>
          <w:szCs w:val="28"/>
          <w:lang w:val="uk-UA"/>
        </w:rPr>
        <w:t xml:space="preserve">о </w:t>
      </w:r>
      <w:proofErr w:type="spellStart"/>
      <w:r w:rsidRPr="00AC5BD3">
        <w:rPr>
          <w:sz w:val="28"/>
          <w:szCs w:val="28"/>
          <w:lang w:val="uk-UA"/>
        </w:rPr>
        <w:t>проєкту</w:t>
      </w:r>
      <w:proofErr w:type="spellEnd"/>
      <w:r w:rsidRPr="00AC5BD3">
        <w:rPr>
          <w:sz w:val="28"/>
          <w:szCs w:val="28"/>
          <w:lang w:val="uk-UA"/>
        </w:rPr>
        <w:t xml:space="preserve"> рішення Сумської міської ради</w:t>
      </w:r>
    </w:p>
    <w:p w:rsidR="007E6AA5" w:rsidRDefault="007E6AA5" w:rsidP="007E6AA5">
      <w:pPr>
        <w:tabs>
          <w:tab w:val="left" w:pos="4820"/>
        </w:tabs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Pr="004B1447">
        <w:rPr>
          <w:sz w:val="28"/>
          <w:szCs w:val="28"/>
          <w:lang w:val="uk-UA" w:eastAsia="uk-UA"/>
        </w:rPr>
        <w:t xml:space="preserve">Про внесення змін до рішення Сумської міської ради </w:t>
      </w:r>
      <w:r w:rsidRPr="00A4614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 грудня</w:t>
      </w:r>
      <w:r w:rsidRPr="00A4614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A4614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 </w:t>
      </w:r>
      <w:r w:rsidRPr="00A4614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</w:t>
      </w:r>
      <w:r w:rsidRPr="00A4614E">
        <w:rPr>
          <w:sz w:val="28"/>
          <w:szCs w:val="28"/>
          <w:lang w:val="uk-UA"/>
        </w:rPr>
        <w:t>-МР</w:t>
      </w:r>
      <w:r w:rsidRPr="004B1447">
        <w:rPr>
          <w:kern w:val="2"/>
          <w:sz w:val="28"/>
          <w:szCs w:val="28"/>
          <w:lang w:val="uk-UA"/>
        </w:rPr>
        <w:t xml:space="preserve"> </w:t>
      </w:r>
      <w:r w:rsidRPr="004B1447">
        <w:rPr>
          <w:sz w:val="28"/>
          <w:szCs w:val="28"/>
          <w:lang w:val="uk-UA" w:eastAsia="uk-UA"/>
        </w:rPr>
        <w:t>«</w:t>
      </w:r>
      <w:r w:rsidRPr="00A4614E">
        <w:rPr>
          <w:sz w:val="28"/>
          <w:szCs w:val="28"/>
          <w:lang w:val="uk-UA"/>
        </w:rPr>
        <w:t>Про затвердження Регламенту роботи Сумської міської ради VI</w:t>
      </w:r>
      <w:r>
        <w:rPr>
          <w:sz w:val="28"/>
          <w:szCs w:val="28"/>
          <w:lang w:val="uk-UA"/>
        </w:rPr>
        <w:t>І</w:t>
      </w:r>
      <w:r w:rsidRPr="00A461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A4614E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 w:eastAsia="uk-UA"/>
        </w:rPr>
        <w:t>» (зі змінами)»</w:t>
      </w:r>
    </w:p>
    <w:p w:rsidR="007E6AA5" w:rsidRPr="00D55180" w:rsidRDefault="007E6AA5" w:rsidP="007E6AA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7E6AA5" w:rsidRPr="00D55180" w:rsidTr="007E6AA5">
        <w:trPr>
          <w:trHeight w:val="320"/>
          <w:jc w:val="center"/>
        </w:trPr>
        <w:tc>
          <w:tcPr>
            <w:tcW w:w="4814" w:type="dxa"/>
            <w:shd w:val="clear" w:color="auto" w:fill="auto"/>
            <w:vAlign w:val="center"/>
          </w:tcPr>
          <w:p w:rsidR="007E6AA5" w:rsidRPr="00D55180" w:rsidRDefault="007E6AA5" w:rsidP="0072456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норми чинного нормативно-правового </w:t>
            </w:r>
            <w:proofErr w:type="spellStart"/>
            <w:r w:rsidRPr="00D55180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D55180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7E6AA5" w:rsidRPr="00D55180" w:rsidRDefault="007E6AA5" w:rsidP="0072456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</w:t>
            </w:r>
            <w:proofErr w:type="spellStart"/>
            <w:r w:rsidRPr="00D55180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7E6AA5" w:rsidRPr="00D55180" w:rsidTr="007E6AA5">
        <w:trPr>
          <w:jc w:val="center"/>
        </w:trPr>
        <w:tc>
          <w:tcPr>
            <w:tcW w:w="4814" w:type="dxa"/>
            <w:shd w:val="clear" w:color="auto" w:fill="auto"/>
          </w:tcPr>
          <w:p w:rsidR="007E6AA5" w:rsidRPr="007E6AA5" w:rsidRDefault="007E6AA5" w:rsidP="007E6AA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Частина шоста статті 30 </w:t>
            </w:r>
            <w:r w:rsidRPr="007E6AA5">
              <w:rPr>
                <w:b/>
                <w:bCs/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7E6AA5">
              <w:rPr>
                <w:b/>
                <w:bCs/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b/>
                <w:bCs/>
                <w:sz w:val="26"/>
                <w:szCs w:val="26"/>
                <w:lang w:val="uk-UA"/>
              </w:rPr>
              <w:t xml:space="preserve"> рішення</w:t>
            </w:r>
          </w:p>
          <w:p w:rsidR="007E6AA5" w:rsidRPr="007E6AA5" w:rsidRDefault="007E6AA5" w:rsidP="007E6AA5">
            <w:pPr>
              <w:rPr>
                <w:sz w:val="26"/>
                <w:szCs w:val="26"/>
                <w:lang w:val="uk-UA"/>
              </w:rPr>
            </w:pP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6. У разі ініціювання розгляду питання суб’єктами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нормотворчості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визначеними пунктами 2 та 3 статті 26 Регламенту, вони подають на ім’я міського голови супровідний лист (зареєстрований у Відділі з організації діяльності ради) разом з розробленим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проєктом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рішення.</w:t>
            </w: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Працівник Відділу з організації діяльності ради (у разі відповідності оформлення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вимогам Регламенту по оформленню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Сумської міської ради, які викладені в додатках до цього Регламенту) реєструє його в Журналі реєстрації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рішень міської ради ініціаторами розгляду яких є депутати та депутатські фракції, направляє копії даного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разом з супровідним листом одночасно всім відповідним посадовим особам виконавчих органів міської ради на візування </w:t>
            </w:r>
            <w:r w:rsidRPr="002C2734">
              <w:rPr>
                <w:i/>
                <w:sz w:val="26"/>
                <w:szCs w:val="26"/>
                <w:lang w:val="uk-UA"/>
              </w:rPr>
              <w:t>у строки, визначені Регламентом роботи міської ради,</w:t>
            </w:r>
            <w:r w:rsidRPr="007E6AA5">
              <w:rPr>
                <w:sz w:val="26"/>
                <w:szCs w:val="26"/>
                <w:lang w:val="uk-UA"/>
              </w:rPr>
              <w:t xml:space="preserve"> у разі необхідності на розгляд постійним комісіям міської ради (за належністю), контролює своєчасність надання ними висновків, пропозицій, зауважень тощо.</w:t>
            </w: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Оригінал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з отриманими висновками, пропозиціями, зауваженнями тощо до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Відділ з організації діяльності ради направляє на візування </w:t>
            </w:r>
            <w:r w:rsidRPr="002C2734">
              <w:rPr>
                <w:i/>
                <w:sz w:val="26"/>
                <w:szCs w:val="26"/>
                <w:lang w:val="uk-UA"/>
              </w:rPr>
              <w:t>у строки, визначені Регламентом роботи міської ради</w:t>
            </w:r>
            <w:r w:rsidRPr="007E6AA5">
              <w:rPr>
                <w:sz w:val="26"/>
                <w:szCs w:val="26"/>
                <w:lang w:val="uk-UA"/>
              </w:rPr>
              <w:t>, в Правове управління.</w:t>
            </w:r>
          </w:p>
          <w:p w:rsidR="007E6AA5" w:rsidRPr="007E6AA5" w:rsidRDefault="007E6AA5" w:rsidP="007E6A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Відповідна посадова особа виконавчих органів міської ради в такому </w:t>
            </w:r>
            <w:r w:rsidRPr="007E6AA5">
              <w:rPr>
                <w:sz w:val="26"/>
                <w:szCs w:val="26"/>
                <w:lang w:val="uk-UA"/>
              </w:rPr>
              <w:lastRenderedPageBreak/>
              <w:t xml:space="preserve">випадку не візує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шляхом проставлення свого підпису на листі погодження, а візує його шляхом підготовки та підписання </w:t>
            </w:r>
            <w:r w:rsidRPr="002C2734">
              <w:rPr>
                <w:i/>
                <w:sz w:val="26"/>
                <w:szCs w:val="26"/>
                <w:lang w:val="uk-UA"/>
              </w:rPr>
              <w:t>(в термін</w:t>
            </w:r>
            <w:r w:rsidRPr="007E6AA5">
              <w:rPr>
                <w:sz w:val="26"/>
                <w:szCs w:val="26"/>
                <w:lang w:val="uk-UA"/>
              </w:rPr>
              <w:t xml:space="preserve"> не більше 2 (двох) робочих днів з дня наступного після його направлення/здачі посадовій особі на візування) висновку на такий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(із зазначенням найменування посади особи, що візує документ, її особистого підпису, ініціалів та прізвища, дату підпису). Вказаний висновок посадова особа повинна надати (не пізніше ніж на 2-й (другий) робочий день з моменту отримання нею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рішення) начальнику Відділу з організації діяльності ради для організації подальшого розгляду даного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відповідними органами.</w:t>
            </w: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У разі невідповідності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вимогам чинних нормативно-правових актів Правове управління протягом п’яти робочих днів складає до нього юридичний висновок у встановленому частиною шостою статті 29 Регламенту порядку.</w:t>
            </w:r>
          </w:p>
          <w:p w:rsidR="007E6AA5" w:rsidRPr="007E6AA5" w:rsidRDefault="007E6AA5" w:rsidP="00724565">
            <w:pPr>
              <w:ind w:firstLine="52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814" w:type="dxa"/>
            <w:shd w:val="clear" w:color="auto" w:fill="auto"/>
          </w:tcPr>
          <w:p w:rsidR="007E6AA5" w:rsidRPr="007E6AA5" w:rsidRDefault="007E6AA5" w:rsidP="007E6AA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lastRenderedPageBreak/>
              <w:t xml:space="preserve">Частина шоста статті 30 </w:t>
            </w:r>
            <w:r w:rsidRPr="007E6AA5">
              <w:rPr>
                <w:b/>
                <w:bCs/>
                <w:sz w:val="26"/>
                <w:szCs w:val="26"/>
                <w:lang w:val="uk-UA"/>
              </w:rPr>
              <w:t xml:space="preserve">Візування </w:t>
            </w:r>
            <w:proofErr w:type="spellStart"/>
            <w:r w:rsidRPr="007E6AA5">
              <w:rPr>
                <w:b/>
                <w:bCs/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b/>
                <w:bCs/>
                <w:sz w:val="26"/>
                <w:szCs w:val="26"/>
                <w:lang w:val="uk-UA"/>
              </w:rPr>
              <w:t xml:space="preserve"> рішення</w:t>
            </w:r>
          </w:p>
          <w:p w:rsidR="007E6AA5" w:rsidRPr="007E6AA5" w:rsidRDefault="007E6AA5" w:rsidP="007E6AA5">
            <w:pPr>
              <w:rPr>
                <w:sz w:val="26"/>
                <w:szCs w:val="26"/>
                <w:lang w:val="uk-UA"/>
              </w:rPr>
            </w:pP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6. У разі ініціювання розгляду питання суб’єктами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нормотворчості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визначеними пунктами 2 та 3 статті 26 Регламенту, вони подають на ім’я міського голови супровідний лист (зареєстрований у Відділі з організації діяльності ради) разом з розробленим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проєктом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рішення.</w:t>
            </w: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Працівник Відділу з організації діяльності ради (у разі відповідності оформлення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вимогам Регламенту по оформленню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Сумської міської ради, які викладені в додатках до цього Регламенту) реєструє його в Журналі реєстрації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рішень міської ради ініціаторами розгляду яких є депутати та депутатські фракції, направляє копії даного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рішення, разом з супровідним листом, одночасно, всім відповідним посадовим особам виконавчих органів міської ради </w:t>
            </w:r>
            <w:r w:rsidRPr="002C2734">
              <w:rPr>
                <w:b/>
                <w:sz w:val="26"/>
                <w:szCs w:val="26"/>
                <w:lang w:val="uk-UA"/>
              </w:rPr>
              <w:t>(крім правового управління Сумської міської ради)</w:t>
            </w:r>
            <w:r w:rsidRPr="007E6AA5">
              <w:rPr>
                <w:sz w:val="26"/>
                <w:szCs w:val="26"/>
                <w:lang w:val="uk-UA"/>
              </w:rPr>
              <w:t xml:space="preserve"> на візування, </w:t>
            </w:r>
            <w:r w:rsidRPr="002C2734">
              <w:rPr>
                <w:b/>
                <w:sz w:val="26"/>
                <w:szCs w:val="26"/>
                <w:lang w:val="uk-UA"/>
              </w:rPr>
              <w:t xml:space="preserve">а також, </w:t>
            </w:r>
            <w:r w:rsidRPr="002C2734">
              <w:rPr>
                <w:sz w:val="26"/>
                <w:szCs w:val="26"/>
                <w:lang w:val="uk-UA"/>
              </w:rPr>
              <w:t>у разі необхідності,</w:t>
            </w:r>
            <w:r w:rsidRPr="007E6AA5">
              <w:rPr>
                <w:sz w:val="26"/>
                <w:szCs w:val="26"/>
                <w:lang w:val="uk-UA"/>
              </w:rPr>
              <w:t xml:space="preserve"> на розгляд постійним комісіям міської ради (за належністю), контролює своєчасність надання ними висновків, пропозицій, зауважень тощо.</w:t>
            </w:r>
          </w:p>
          <w:p w:rsidR="007E6AA5" w:rsidRPr="007E6AA5" w:rsidRDefault="007E6AA5" w:rsidP="007E6A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Відповідна посадова особа виконавчих органів міської ради в такому випадку не візує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шляхом проставлення свого підпису на листі погодження, а візує його шляхом підготовки та підписання (</w:t>
            </w:r>
            <w:r w:rsidRPr="002C2734">
              <w:rPr>
                <w:b/>
                <w:sz w:val="26"/>
                <w:szCs w:val="26"/>
                <w:lang w:val="uk-UA"/>
              </w:rPr>
              <w:t>у строки</w:t>
            </w:r>
            <w:r w:rsidRPr="007E6AA5">
              <w:rPr>
                <w:sz w:val="26"/>
                <w:szCs w:val="26"/>
                <w:lang w:val="uk-UA"/>
              </w:rPr>
              <w:t xml:space="preserve"> не більше 2 (двох) робочих днів з дня наступного після його направлення/здачі посадовій особі на візування) висновку </w:t>
            </w:r>
            <w:r w:rsidRPr="007E6AA5">
              <w:rPr>
                <w:sz w:val="26"/>
                <w:szCs w:val="26"/>
                <w:lang w:val="uk-UA"/>
              </w:rPr>
              <w:lastRenderedPageBreak/>
              <w:t xml:space="preserve">на такий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(із зазначенням найменування посади особи, що візує документ, її особистого підпису, ініціалів та прізвища, дату підпису). Вказаний висновок посадова особа повинна надати (не пізніше ніж на 2-й (другий) робочий день з моменту отримання нею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рішення) начальнику Відділу з організації діяльності ради для організації подальшого розгляду даного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відповідними органами.</w:t>
            </w:r>
          </w:p>
          <w:p w:rsidR="007E6AA5" w:rsidRPr="002C2734" w:rsidRDefault="007E6AA5" w:rsidP="007E6AA5">
            <w:pPr>
              <w:ind w:firstLine="567"/>
              <w:jc w:val="both"/>
              <w:rPr>
                <w:b/>
                <w:sz w:val="26"/>
                <w:szCs w:val="26"/>
                <w:lang w:val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Оригінал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з отриманими висновками, пропозиціями, зауваженнями тощо до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Відділ з організації діяльності ради направляє </w:t>
            </w:r>
            <w:r w:rsidRPr="002C2734">
              <w:rPr>
                <w:b/>
                <w:sz w:val="26"/>
                <w:szCs w:val="26"/>
                <w:lang w:val="uk-UA"/>
              </w:rPr>
              <w:t>в Правове управління Сумської міської ради</w:t>
            </w:r>
            <w:r w:rsidRPr="007E6AA5">
              <w:rPr>
                <w:sz w:val="26"/>
                <w:szCs w:val="26"/>
                <w:lang w:val="uk-UA"/>
              </w:rPr>
              <w:t xml:space="preserve"> на візування, </w:t>
            </w:r>
            <w:r w:rsidRPr="002C2734">
              <w:rPr>
                <w:b/>
                <w:sz w:val="26"/>
                <w:szCs w:val="26"/>
                <w:lang w:val="uk-UA"/>
              </w:rPr>
              <w:t xml:space="preserve">шляхом проставлення підпису на листі погодження до </w:t>
            </w:r>
            <w:proofErr w:type="spellStart"/>
            <w:r w:rsidRPr="002C2734">
              <w:rPr>
                <w:b/>
                <w:sz w:val="26"/>
                <w:szCs w:val="26"/>
                <w:lang w:val="uk-UA"/>
              </w:rPr>
              <w:t>проєкту</w:t>
            </w:r>
            <w:proofErr w:type="spellEnd"/>
            <w:r w:rsidRPr="002C2734">
              <w:rPr>
                <w:b/>
                <w:sz w:val="26"/>
                <w:szCs w:val="26"/>
                <w:lang w:val="uk-UA"/>
              </w:rPr>
              <w:t xml:space="preserve"> рішення, у строк не більше 2 (двох) робочих днів з дня наступного після його направлення/здачі посадовій особі на візування.</w:t>
            </w:r>
          </w:p>
          <w:p w:rsidR="007E6AA5" w:rsidRPr="007E6AA5" w:rsidRDefault="007E6AA5" w:rsidP="007E6AA5">
            <w:pPr>
              <w:ind w:firstLine="567"/>
              <w:jc w:val="both"/>
              <w:rPr>
                <w:sz w:val="26"/>
                <w:szCs w:val="26"/>
                <w:lang w:val="uk-UA" w:eastAsia="uk-UA"/>
              </w:rPr>
            </w:pPr>
            <w:r w:rsidRPr="007E6AA5">
              <w:rPr>
                <w:sz w:val="26"/>
                <w:szCs w:val="26"/>
                <w:lang w:val="uk-UA"/>
              </w:rPr>
              <w:t xml:space="preserve">У разі невідповідності </w:t>
            </w:r>
            <w:proofErr w:type="spellStart"/>
            <w:r w:rsidRPr="007E6AA5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7E6AA5">
              <w:rPr>
                <w:sz w:val="26"/>
                <w:szCs w:val="26"/>
                <w:lang w:val="uk-UA"/>
              </w:rPr>
              <w:t xml:space="preserve"> рішення вимогам чинних нормативно-правових актів Правове управління протягом п’яти робочих днів складає до нього юридичний висновок у встановленому частиною шостою статті 29 Регламенту порядку.</w:t>
            </w:r>
          </w:p>
        </w:tc>
      </w:tr>
    </w:tbl>
    <w:p w:rsidR="007E6AA5" w:rsidRPr="00D55180" w:rsidRDefault="007E6AA5" w:rsidP="007E6AA5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6AA5" w:rsidRPr="00D55180" w:rsidRDefault="007E6AA5" w:rsidP="007E6AA5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6AA5" w:rsidRPr="00D55180" w:rsidRDefault="007E6AA5" w:rsidP="007E6AA5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E6AA5" w:rsidRDefault="007E6AA5" w:rsidP="00B144E9">
      <w:pPr>
        <w:tabs>
          <w:tab w:val="left" w:pos="4820"/>
        </w:tabs>
        <w:rPr>
          <w:b/>
          <w:sz w:val="28"/>
          <w:szCs w:val="28"/>
          <w:lang w:val="uk-UA" w:eastAsia="uk-UA"/>
        </w:rPr>
      </w:pPr>
      <w:r w:rsidRPr="007E6AA5">
        <w:rPr>
          <w:b/>
          <w:sz w:val="28"/>
          <w:szCs w:val="28"/>
          <w:lang w:val="uk-UA" w:eastAsia="uk-UA"/>
        </w:rPr>
        <w:t xml:space="preserve">Начальник правового управління </w:t>
      </w:r>
      <w:r w:rsidRPr="007E6AA5">
        <w:rPr>
          <w:b/>
          <w:sz w:val="28"/>
          <w:szCs w:val="28"/>
          <w:lang w:val="uk-UA" w:eastAsia="uk-UA"/>
        </w:rPr>
        <w:tab/>
      </w:r>
      <w:r w:rsidRPr="007E6AA5">
        <w:rPr>
          <w:b/>
          <w:sz w:val="28"/>
          <w:szCs w:val="28"/>
          <w:lang w:val="uk-UA" w:eastAsia="uk-UA"/>
        </w:rPr>
        <w:tab/>
      </w:r>
      <w:r w:rsidRPr="007E6AA5">
        <w:rPr>
          <w:b/>
          <w:sz w:val="28"/>
          <w:szCs w:val="28"/>
          <w:lang w:val="uk-UA" w:eastAsia="uk-UA"/>
        </w:rPr>
        <w:tab/>
      </w:r>
      <w:r w:rsidRPr="007E6AA5">
        <w:rPr>
          <w:b/>
          <w:sz w:val="28"/>
          <w:szCs w:val="28"/>
          <w:lang w:val="uk-UA" w:eastAsia="uk-UA"/>
        </w:rPr>
        <w:tab/>
      </w:r>
      <w:r w:rsidRPr="007E6AA5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 xml:space="preserve">       </w:t>
      </w:r>
      <w:r w:rsidRPr="007E6AA5">
        <w:rPr>
          <w:b/>
          <w:sz w:val="28"/>
          <w:szCs w:val="28"/>
          <w:lang w:val="uk-UA" w:eastAsia="uk-UA"/>
        </w:rPr>
        <w:t xml:space="preserve">О.В. </w:t>
      </w:r>
      <w:proofErr w:type="spellStart"/>
      <w:r w:rsidRPr="007E6AA5">
        <w:rPr>
          <w:b/>
          <w:sz w:val="28"/>
          <w:szCs w:val="28"/>
          <w:lang w:val="uk-UA" w:eastAsia="uk-UA"/>
        </w:rPr>
        <w:t>Чайченко</w:t>
      </w:r>
      <w:proofErr w:type="spellEnd"/>
    </w:p>
    <w:p w:rsidR="00AF726B" w:rsidRDefault="00AF726B">
      <w:pPr>
        <w:spacing w:after="160" w:line="259" w:lineRule="auto"/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sectPr w:rsidR="00AF726B" w:rsidSect="001662B3"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58" w:rsidRDefault="00F55558">
      <w:r>
        <w:separator/>
      </w:r>
    </w:p>
  </w:endnote>
  <w:endnote w:type="continuationSeparator" w:id="0">
    <w:p w:rsidR="00F55558" w:rsidRDefault="00F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1" w:rsidRDefault="00F55558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58" w:rsidRDefault="00F55558">
      <w:r>
        <w:separator/>
      </w:r>
    </w:p>
  </w:footnote>
  <w:footnote w:type="continuationSeparator" w:id="0">
    <w:p w:rsidR="00F55558" w:rsidRDefault="00F5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097F60"/>
    <w:rsid w:val="000B5FB9"/>
    <w:rsid w:val="000F45B5"/>
    <w:rsid w:val="00124196"/>
    <w:rsid w:val="001654CB"/>
    <w:rsid w:val="001662B3"/>
    <w:rsid w:val="001761AE"/>
    <w:rsid w:val="00194AC9"/>
    <w:rsid w:val="001C0764"/>
    <w:rsid w:val="001C2B2D"/>
    <w:rsid w:val="001C6B56"/>
    <w:rsid w:val="001E0455"/>
    <w:rsid w:val="001F65FE"/>
    <w:rsid w:val="00202894"/>
    <w:rsid w:val="0023166F"/>
    <w:rsid w:val="002B6D14"/>
    <w:rsid w:val="002C2734"/>
    <w:rsid w:val="002C3AE2"/>
    <w:rsid w:val="002D5A36"/>
    <w:rsid w:val="003250CD"/>
    <w:rsid w:val="00344E4C"/>
    <w:rsid w:val="00355808"/>
    <w:rsid w:val="003A4A1B"/>
    <w:rsid w:val="00421C3E"/>
    <w:rsid w:val="004854C3"/>
    <w:rsid w:val="004979F0"/>
    <w:rsid w:val="004B1447"/>
    <w:rsid w:val="004F3568"/>
    <w:rsid w:val="00510125"/>
    <w:rsid w:val="00525787"/>
    <w:rsid w:val="00582E47"/>
    <w:rsid w:val="00590AAB"/>
    <w:rsid w:val="005C3DBA"/>
    <w:rsid w:val="005E1849"/>
    <w:rsid w:val="005F03B0"/>
    <w:rsid w:val="006205A7"/>
    <w:rsid w:val="00651F80"/>
    <w:rsid w:val="006A2472"/>
    <w:rsid w:val="006B601C"/>
    <w:rsid w:val="006C200C"/>
    <w:rsid w:val="0070542F"/>
    <w:rsid w:val="00725D0D"/>
    <w:rsid w:val="007E1569"/>
    <w:rsid w:val="007E3952"/>
    <w:rsid w:val="007E6AA5"/>
    <w:rsid w:val="007F02D0"/>
    <w:rsid w:val="00816E30"/>
    <w:rsid w:val="0083730B"/>
    <w:rsid w:val="0084739C"/>
    <w:rsid w:val="00876FEC"/>
    <w:rsid w:val="008D3E40"/>
    <w:rsid w:val="008F3F29"/>
    <w:rsid w:val="00902876"/>
    <w:rsid w:val="0097577E"/>
    <w:rsid w:val="00977EF5"/>
    <w:rsid w:val="00A127A0"/>
    <w:rsid w:val="00A306FB"/>
    <w:rsid w:val="00A32A7F"/>
    <w:rsid w:val="00A36074"/>
    <w:rsid w:val="00A42721"/>
    <w:rsid w:val="00A4583E"/>
    <w:rsid w:val="00A728D2"/>
    <w:rsid w:val="00A7481F"/>
    <w:rsid w:val="00A820F9"/>
    <w:rsid w:val="00A86EF3"/>
    <w:rsid w:val="00A907E8"/>
    <w:rsid w:val="00A90ABD"/>
    <w:rsid w:val="00AC12CC"/>
    <w:rsid w:val="00AC160D"/>
    <w:rsid w:val="00AC5BD3"/>
    <w:rsid w:val="00AE3817"/>
    <w:rsid w:val="00AE4CC5"/>
    <w:rsid w:val="00AF726B"/>
    <w:rsid w:val="00B04696"/>
    <w:rsid w:val="00B144E9"/>
    <w:rsid w:val="00B16F49"/>
    <w:rsid w:val="00B45671"/>
    <w:rsid w:val="00B45730"/>
    <w:rsid w:val="00B74F41"/>
    <w:rsid w:val="00B922DF"/>
    <w:rsid w:val="00BA71F5"/>
    <w:rsid w:val="00BF1472"/>
    <w:rsid w:val="00BF6742"/>
    <w:rsid w:val="00C05672"/>
    <w:rsid w:val="00C60918"/>
    <w:rsid w:val="00C62B70"/>
    <w:rsid w:val="00CA698F"/>
    <w:rsid w:val="00CB40EC"/>
    <w:rsid w:val="00CB6D4E"/>
    <w:rsid w:val="00CE6D59"/>
    <w:rsid w:val="00CF3D4A"/>
    <w:rsid w:val="00CF409B"/>
    <w:rsid w:val="00D867D9"/>
    <w:rsid w:val="00D92C27"/>
    <w:rsid w:val="00DF0321"/>
    <w:rsid w:val="00DF1928"/>
    <w:rsid w:val="00E0375A"/>
    <w:rsid w:val="00E1151C"/>
    <w:rsid w:val="00E12CE8"/>
    <w:rsid w:val="00E43068"/>
    <w:rsid w:val="00E81017"/>
    <w:rsid w:val="00EA2A0D"/>
    <w:rsid w:val="00EE7A19"/>
    <w:rsid w:val="00F2187C"/>
    <w:rsid w:val="00F36A89"/>
    <w:rsid w:val="00F468C8"/>
    <w:rsid w:val="00F525C8"/>
    <w:rsid w:val="00F54627"/>
    <w:rsid w:val="00F55558"/>
    <w:rsid w:val="00F66F88"/>
    <w:rsid w:val="00F8372E"/>
    <w:rsid w:val="00F85624"/>
    <w:rsid w:val="00F9510C"/>
    <w:rsid w:val="00F95AA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2CD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List Paragraph"/>
    <w:basedOn w:val="a"/>
    <w:uiPriority w:val="34"/>
    <w:qFormat/>
    <w:rsid w:val="00F2187C"/>
    <w:pPr>
      <w:ind w:left="720"/>
      <w:contextualSpacing/>
    </w:pPr>
  </w:style>
  <w:style w:type="table" w:styleId="aa">
    <w:name w:val="Table Grid"/>
    <w:basedOn w:val="a1"/>
    <w:uiPriority w:val="39"/>
    <w:rsid w:val="0012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F72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CAA1-F9E7-4F98-92A6-34869EB6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Бойко Ольга Анатоліївна</cp:lastModifiedBy>
  <cp:revision>3</cp:revision>
  <cp:lastPrinted>2021-04-07T07:08:00Z</cp:lastPrinted>
  <dcterms:created xsi:type="dcterms:W3CDTF">2021-04-20T12:02:00Z</dcterms:created>
  <dcterms:modified xsi:type="dcterms:W3CDTF">2021-04-20T12:03:00Z</dcterms:modified>
</cp:coreProperties>
</file>