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103FA" w:rsidRPr="00306C45" w:rsidTr="00940A66">
        <w:trPr>
          <w:trHeight w:val="1135"/>
          <w:jc w:val="center"/>
        </w:trPr>
        <w:tc>
          <w:tcPr>
            <w:tcW w:w="4252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98E56" wp14:editId="03364047">
                  <wp:extent cx="4286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103FA" w:rsidRPr="00C64D7F" w:rsidRDefault="00A103FA" w:rsidP="00940A66">
            <w:pPr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:rsidR="00A103FA" w:rsidRPr="00C64D7F" w:rsidRDefault="00A103FA" w:rsidP="00940A66">
            <w:pPr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оприлюднено</w:t>
            </w:r>
          </w:p>
          <w:p w:rsidR="00A103FA" w:rsidRPr="00C64D7F" w:rsidRDefault="00A103FA" w:rsidP="00940A66">
            <w:pPr>
              <w:tabs>
                <w:tab w:val="left" w:pos="8447"/>
              </w:tabs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64D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«___» _________2020 р.</w:t>
            </w:r>
          </w:p>
        </w:tc>
      </w:tr>
    </w:tbl>
    <w:p w:rsidR="00A103FA" w:rsidRPr="00306C45" w:rsidRDefault="00A103FA" w:rsidP="00A103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</w:pPr>
      <w:r w:rsidRPr="00306C45"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  <w:t>СУМСЬКА МІСЬКА РАДА</w:t>
      </w:r>
    </w:p>
    <w:p w:rsidR="00A103FA" w:rsidRPr="00306C45" w:rsidRDefault="00A103FA" w:rsidP="00A103FA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VII</w:t>
      </w:r>
      <w:r w:rsidRPr="0066722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СКЛИКАННЯ </w:t>
      </w:r>
      <w:r w:rsidRPr="0066722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______ </w:t>
      </w:r>
      <w:r w:rsidRPr="00306C45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СЕСІЯ</w:t>
      </w:r>
    </w:p>
    <w:p w:rsidR="00A103FA" w:rsidRPr="00306C45" w:rsidRDefault="00A103FA" w:rsidP="00A10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ru-RU"/>
        </w:rPr>
      </w:pPr>
      <w:r w:rsidRPr="00306C45"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  <w:t>РІШЕННЯ</w:t>
      </w:r>
    </w:p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4678"/>
        <w:gridCol w:w="4680"/>
      </w:tblGrid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від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 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</w:t>
            </w:r>
            <w:r w:rsidRPr="0098306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         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2020 року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 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-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МР </w:t>
            </w:r>
          </w:p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м. Суми</w:t>
            </w: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940A66">
        <w:tc>
          <w:tcPr>
            <w:tcW w:w="4678" w:type="dxa"/>
            <w:shd w:val="clear" w:color="auto" w:fill="auto"/>
          </w:tcPr>
          <w:p w:rsidR="00A103FA" w:rsidRPr="00751156" w:rsidRDefault="00A103FA" w:rsidP="00940A66">
            <w:pPr>
              <w:tabs>
                <w:tab w:val="left" w:pos="851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плати за доступ до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будівництва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транспорту,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енергетики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кабельної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каналізації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електрозв’язку</w:t>
            </w:r>
            <w:proofErr w:type="spellEnd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розподільн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/>
              </w:rPr>
            </w:pPr>
          </w:p>
        </w:tc>
      </w:tr>
    </w:tbl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врегулювання питання доступу до інфраструктури об’єктів будівництва, транспорту, електроенергетики, кабельної каналізації електрозв’язку, будинкової розподільної мережі комунальної власності для розташування технічних засобів телекомунікацій, забезпечення розвитку інформаційного суспільства та 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об'єктів будівництва, транспорту, енергетики, кабельної каналізації електрозв’язку, будинкової розподільної мережі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Закону України «Про доступ до об’єктів будівництва, транспорту, електроенергетики з метою розвитку телекомунікаційних мереж»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пунктом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57 частини першої статті 26</w:t>
      </w:r>
      <w:r w:rsidR="007C2D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місцеве самовря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дування в Україні»</w:t>
      </w: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6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6C4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Сумська міська рада</w:t>
      </w:r>
    </w:p>
    <w:p w:rsidR="00A103FA" w:rsidRPr="00983060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06C4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субʼєктам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господарювання (операторам, провайдерам телекомунікацій або уповноваженим ними особам), власникам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будівництва, транспорту, енергетики, кабельної каналізації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розвʼязку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будинкової розподільн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ої мережі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комунальної власності під час здійснення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доступу 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 керуватися </w:t>
      </w:r>
      <w:hyperlink r:id="rId6" w:tgtFrame="_blank" w:history="1">
        <w:r w:rsidRPr="001932E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доступ до об’єктів будівництва, транспорту, електроенергетики з метою розвитку телекомунікаційних мереж», відповідними правилами та методиками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визначення плати за доступ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доступу, які затверджені у відповідності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зазначеного вище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Pr="00B24534" w:rsidRDefault="00A103FA" w:rsidP="00174AD1">
      <w:pPr>
        <w:pStyle w:val="a3"/>
        <w:numPr>
          <w:ilvl w:val="0"/>
          <w:numId w:val="1"/>
        </w:numPr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Встановити, що плата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 визначається підприємствами, установами, організаціями Сумської міської територіальної громади, які вважаються балансоутримувачами або особами, в розпорядженні (управлінні) яких перебувають об’єкти доступу, у розмірі, що не перевищує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3DC1" w:rsidRPr="004B383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*</w:t>
      </w:r>
      <w:r w:rsidRPr="00B24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з доступу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плати; 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одну опору -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доступу, у тому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електропередачі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будинковою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мережею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100 квартир; 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до 160 квартир;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один канало-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кілометр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доступ до елементів інфраструктури кабель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каналізації електрозв’язку 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відсотків мінімальної заробітної плати за один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канало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-кілометр кабельної каналізації електрозв’язку на місяць.</w:t>
      </w:r>
    </w:p>
    <w:p w:rsidR="00667228" w:rsidRPr="00A4238B" w:rsidRDefault="00667228" w:rsidP="00AD2246">
      <w:pPr>
        <w:pStyle w:val="a3"/>
        <w:shd w:val="clear" w:color="auto" w:fill="FFFFFF"/>
        <w:spacing w:after="0" w:line="233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мінімальної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станом на 1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поточного року.</w:t>
      </w:r>
      <w:bookmarkStart w:id="0" w:name="_GoBack"/>
      <w:bookmarkEnd w:id="0"/>
    </w:p>
    <w:p w:rsidR="00A103FA" w:rsidRDefault="00A103FA" w:rsidP="00174AD1">
      <w:pPr>
        <w:pStyle w:val="a3"/>
        <w:numPr>
          <w:ilvl w:val="0"/>
          <w:numId w:val="1"/>
        </w:numPr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Рекомендувати</w:t>
      </w:r>
      <w:r w:rsidRPr="0041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ласникам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Pr="004130FC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укладати договори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доступу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замовниками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доступу до </w:t>
      </w:r>
      <w:proofErr w:type="spellStart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інфраструктури</w:t>
      </w:r>
      <w:proofErr w:type="spellEnd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доступ до об’єктів будівництва, транспорту, електроенергетики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розвитку телекомунікаційних мереж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03FA" w:rsidRPr="00C873FE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103FA" w:rsidRPr="00C87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визначати у договорах з доступу до елементів інфраструктури об’єктів розмір плати відповідно до методики визначення плати за доступ до елементів інфраструктури об’єкта доступу, затвердженою відп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овідним державним органом влади;</w:t>
      </w:r>
    </w:p>
    <w:p w:rsidR="00A103FA" w:rsidRPr="00BE42DB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3.3.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надавати замовнику</w:t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 до </w:t>
      </w:r>
      <w:proofErr w:type="spellStart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інфраструктури</w:t>
      </w:r>
      <w:proofErr w:type="spellEnd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proofErr w:type="spellStart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відповідно до договору з доступу безперешкодний доступ до всіх технічних засобів телекомунікацій, розміщених на елементах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інфраструктури об’єкта доступу.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75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Виконавчим органам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ради, 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в межах своїх повноважень,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сприяти у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: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4.1.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створенні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послуг;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недискримінаційного доступу операторів та провайдерів телекомунікацій, уповноважених ними осіб до інфраструктури об’єктів будівництва, транспорту, енергетики, кабельної каналізації електрозв’язку, 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lastRenderedPageBreak/>
        <w:t>будинкової розподільної мережі комунальної власності на договірній основі з підприємствами, на балансі яких перебуває ця інфраструктура;</w:t>
      </w:r>
    </w:p>
    <w:p w:rsidR="00A103FA" w:rsidRPr="001E2C8D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розвитку інфраструктури об’єктів будівництва,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послугах.</w:t>
      </w:r>
    </w:p>
    <w:p w:rsidR="00A103FA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Визначити, що:</w:t>
      </w:r>
    </w:p>
    <w:p w:rsidR="00A103FA" w:rsidRPr="00362672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103FA"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Уповноваженою особою щодо об’єктів комунальної власності є балансоутримувач або особа, в розпорядженні (управлінні) якої перебуває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 доступу</w:t>
      </w:r>
      <w:r w:rsidR="00A103FA"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Уповноваженою особою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житлових будинків в залежності від форми управління є управитель багатоквартирного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будинку (уповноважена зборами співвласників багатоквартирного будинку), ОСББ або інша особа, яка 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йснює управління 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багатоквартирним будинком у встан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овленому законом порядку (далі –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Уповноважена особа або Власник).</w:t>
      </w:r>
    </w:p>
    <w:p w:rsidR="00A103FA" w:rsidRPr="00747633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Особам, визначеним у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даного рішення, 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адавати </w:t>
      </w:r>
      <w:r w:rsidR="00075EB2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виконавчим органам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ради, 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підпорядкування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483DC1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безперешкодного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недискримінаційного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доступ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півріччя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до 20 числа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звітним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3FA" w:rsidRPr="00BE42DB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набирає чинності з моменту оприлюднення на сайті Сумської міської ради.</w:t>
      </w:r>
    </w:p>
    <w:p w:rsidR="00D80755" w:rsidRPr="00D80755" w:rsidRDefault="00483DC1" w:rsidP="00D80755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sz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8.</w:t>
      </w:r>
      <w:r w:rsidR="00A103FA">
        <w:rPr>
          <w:color w:val="000000"/>
          <w:sz w:val="28"/>
          <w:szCs w:val="28"/>
          <w:lang w:val="uk-UA"/>
        </w:rPr>
        <w:tab/>
      </w:r>
      <w:r w:rsidR="00A103FA">
        <w:rPr>
          <w:color w:val="000000"/>
          <w:sz w:val="28"/>
          <w:szCs w:val="28"/>
          <w:lang w:val="uk-UA"/>
        </w:rPr>
        <w:tab/>
      </w:r>
      <w:r w:rsidR="00D80755" w:rsidRPr="00D80755">
        <w:rPr>
          <w:sz w:val="28"/>
          <w:lang w:val="uk-UA" w:eastAsia="ru-RU"/>
        </w:rPr>
        <w:t>Департаменту комунікацій та інформативної політики Сумської міської ради (Кохан А.І.) забезпечи</w:t>
      </w:r>
      <w:r w:rsidR="00D80755">
        <w:rPr>
          <w:sz w:val="28"/>
          <w:lang w:val="uk-UA" w:eastAsia="ru-RU"/>
        </w:rPr>
        <w:t>ти оприлюднення даного рішення в</w:t>
      </w:r>
      <w:r w:rsidR="00D80755" w:rsidRPr="00D80755">
        <w:rPr>
          <w:sz w:val="28"/>
          <w:lang w:val="uk-UA" w:eastAsia="ru-RU"/>
        </w:rPr>
        <w:t xml:space="preserve"> місцевому друко</w:t>
      </w:r>
      <w:r w:rsidR="00D80755">
        <w:rPr>
          <w:sz w:val="28"/>
          <w:lang w:val="uk-UA" w:eastAsia="ru-RU"/>
        </w:rPr>
        <w:t xml:space="preserve">ваному ЗМІ та на офіційному </w:t>
      </w:r>
      <w:proofErr w:type="spellStart"/>
      <w:r w:rsidR="00D80755">
        <w:rPr>
          <w:sz w:val="28"/>
          <w:lang w:val="uk-UA" w:eastAsia="ru-RU"/>
        </w:rPr>
        <w:t>веб</w:t>
      </w:r>
      <w:r w:rsidR="00D80755" w:rsidRPr="00D80755">
        <w:rPr>
          <w:sz w:val="28"/>
          <w:lang w:val="uk-UA" w:eastAsia="ru-RU"/>
        </w:rPr>
        <w:t>сайті</w:t>
      </w:r>
      <w:proofErr w:type="spellEnd"/>
      <w:r w:rsidR="00D80755" w:rsidRPr="00D80755">
        <w:rPr>
          <w:sz w:val="28"/>
          <w:lang w:val="uk-UA" w:eastAsia="ru-RU"/>
        </w:rPr>
        <w:t xml:space="preserve"> Сумської міської ради в мережі Інтернет у строки</w:t>
      </w:r>
      <w:r w:rsidR="00D80755">
        <w:rPr>
          <w:sz w:val="28"/>
          <w:lang w:val="uk-UA" w:eastAsia="ru-RU"/>
        </w:rPr>
        <w:t>,</w:t>
      </w:r>
      <w:r w:rsidR="00D80755" w:rsidRPr="00D80755">
        <w:rPr>
          <w:sz w:val="28"/>
          <w:lang w:val="uk-UA" w:eastAsia="ru-RU"/>
        </w:rPr>
        <w:t xml:space="preserve"> визначені законодавством.</w:t>
      </w:r>
    </w:p>
    <w:p w:rsidR="00A103FA" w:rsidRDefault="00A103FA" w:rsidP="00A103FA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9</w:t>
      </w:r>
      <w:r w:rsidR="00483DC1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Pr="00611517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lang w:val="uk-UA"/>
        </w:rPr>
        <w:t>профільного заступника з питань діяльності виконавчих органів ради.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Pr="00E312F5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Pr="009354EF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Pr="00B816CD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16C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</w:t>
      </w:r>
    </w:p>
    <w:p w:rsidR="00A103FA" w:rsidRPr="00B816CD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Журба О.І., Яковенко С.В.</w:t>
      </w:r>
    </w:p>
    <w:p w:rsidR="00A103FA" w:rsidRPr="00B816CD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16C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_____________</w:t>
      </w:r>
    </w:p>
    <w:p w:rsidR="00A103FA" w:rsidRPr="005A36B3" w:rsidRDefault="00A103FA" w:rsidP="00A103F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24E5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Ініціатор розгляду питання – </w:t>
      </w:r>
      <w:r w:rsidRPr="005A36B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Постійна комісія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5A36B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з питань </w:t>
      </w:r>
      <w:r w:rsidRPr="0077581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</w:t>
      </w:r>
    </w:p>
    <w:p w:rsidR="00A103FA" w:rsidRPr="00C24E57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інфраструктури міста Сумської міської ради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відділом транспорту, зв’язку та телекомунікаційних послуг Сумської міської ради</w:t>
      </w:r>
    </w:p>
    <w:p w:rsidR="00A103FA" w:rsidRDefault="00A103FA" w:rsidP="0054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24E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Доповідач: Журба О.І.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Яковенко С.В.</w:t>
      </w:r>
    </w:p>
    <w:sectPr w:rsidR="00A103FA" w:rsidSect="00A103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A8"/>
    <w:multiLevelType w:val="hybridMultilevel"/>
    <w:tmpl w:val="178A623A"/>
    <w:lvl w:ilvl="0" w:tplc="2546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2"/>
    <w:rsid w:val="00075EB2"/>
    <w:rsid w:val="00174AD1"/>
    <w:rsid w:val="00483DC1"/>
    <w:rsid w:val="004B3836"/>
    <w:rsid w:val="004B3D72"/>
    <w:rsid w:val="004C3E53"/>
    <w:rsid w:val="00545B0E"/>
    <w:rsid w:val="00667228"/>
    <w:rsid w:val="006C4C6D"/>
    <w:rsid w:val="00747633"/>
    <w:rsid w:val="007C2D9B"/>
    <w:rsid w:val="008B5A55"/>
    <w:rsid w:val="008B6253"/>
    <w:rsid w:val="00A103FA"/>
    <w:rsid w:val="00A4238B"/>
    <w:rsid w:val="00AC78A5"/>
    <w:rsid w:val="00AD2246"/>
    <w:rsid w:val="00BE12AB"/>
    <w:rsid w:val="00C053DE"/>
    <w:rsid w:val="00C3112A"/>
    <w:rsid w:val="00D80755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60D4"/>
  <w15:chartTrackingRefBased/>
  <w15:docId w15:val="{8E0746DE-6DA6-4E52-A1DD-D069FEE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F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03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103FA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A1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834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Наталія Миколаївна</dc:creator>
  <cp:keywords/>
  <dc:description/>
  <cp:lastModifiedBy>Овчаренко Наталія Миколаївна</cp:lastModifiedBy>
  <cp:revision>28</cp:revision>
  <dcterms:created xsi:type="dcterms:W3CDTF">2020-09-30T05:36:00Z</dcterms:created>
  <dcterms:modified xsi:type="dcterms:W3CDTF">2020-12-04T08:55:00Z</dcterms:modified>
</cp:coreProperties>
</file>