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5D608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ED42C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Лемешко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 Світлані Василівні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>Громадська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товариство «Цукровик», ділянка                     № 198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C2449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 від 16.01.2020 № 181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2449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C2449D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C2449D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Default="000C7F21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ED42CC">
        <w:rPr>
          <w:sz w:val="28"/>
          <w:szCs w:val="28"/>
          <w:lang w:val="uk-UA"/>
        </w:rPr>
        <w:t>Лемешко</w:t>
      </w:r>
      <w:proofErr w:type="spellEnd"/>
      <w:r w:rsidR="00ED42CC">
        <w:rPr>
          <w:sz w:val="28"/>
          <w:szCs w:val="28"/>
          <w:lang w:val="uk-UA"/>
        </w:rPr>
        <w:t xml:space="preserve"> Світлані Василівні</w:t>
      </w:r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>:</w:t>
      </w:r>
      <w:r w:rsidR="005D6082">
        <w:rPr>
          <w:sz w:val="28"/>
          <w:szCs w:val="28"/>
          <w:lang w:val="uk-UA"/>
        </w:rPr>
        <w:t xml:space="preserve">                   </w:t>
      </w:r>
      <w:r w:rsidR="00ED42CC">
        <w:rPr>
          <w:sz w:val="28"/>
          <w:szCs w:val="28"/>
          <w:lang w:val="uk-UA"/>
        </w:rPr>
        <w:t xml:space="preserve"> м. Суми, </w:t>
      </w:r>
      <w:r w:rsidR="00B22F27">
        <w:rPr>
          <w:sz w:val="28"/>
          <w:szCs w:val="28"/>
          <w:lang w:val="uk-UA"/>
        </w:rPr>
        <w:t>Громадська організація «Садівнич</w:t>
      </w:r>
      <w:r w:rsidR="00ED42CC">
        <w:rPr>
          <w:sz w:val="28"/>
          <w:szCs w:val="28"/>
          <w:lang w:val="uk-UA"/>
        </w:rPr>
        <w:t xml:space="preserve">е товариство «Цукровик», ділянка </w:t>
      </w:r>
      <w:r w:rsidR="005D6082">
        <w:rPr>
          <w:sz w:val="28"/>
          <w:szCs w:val="28"/>
          <w:lang w:val="uk-UA"/>
        </w:rPr>
        <w:t xml:space="preserve">               </w:t>
      </w:r>
      <w:r w:rsidR="00ED42CC">
        <w:rPr>
          <w:sz w:val="28"/>
          <w:szCs w:val="28"/>
          <w:lang w:val="uk-UA"/>
        </w:rPr>
        <w:t xml:space="preserve">№ 198,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номер 5910136600:11:001:0303</w:t>
      </w:r>
      <w:r w:rsidRPr="00B72FA9">
        <w:rPr>
          <w:sz w:val="28"/>
          <w:szCs w:val="28"/>
          <w:lang w:val="uk-UA"/>
        </w:rPr>
        <w:t>,</w:t>
      </w:r>
      <w:bookmarkStart w:id="0" w:name="_GoBack"/>
      <w:bookmarkEnd w:id="0"/>
      <w:r w:rsidR="00B22F27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ED42CC">
        <w:rPr>
          <w:sz w:val="28"/>
          <w:szCs w:val="28"/>
          <w:lang w:val="uk-UA"/>
        </w:rPr>
        <w:t xml:space="preserve"> 0,0400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0A6E76" w:rsidRPr="00C2449D">
        <w:rPr>
          <w:lang w:val="uk-UA"/>
        </w:rPr>
        <w:t xml:space="preserve">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330571"/>
    <w:rsid w:val="00587D75"/>
    <w:rsid w:val="005A2888"/>
    <w:rsid w:val="005B1AEA"/>
    <w:rsid w:val="005D6082"/>
    <w:rsid w:val="005E340C"/>
    <w:rsid w:val="00623D20"/>
    <w:rsid w:val="00705FE5"/>
    <w:rsid w:val="00762EBF"/>
    <w:rsid w:val="00B1609D"/>
    <w:rsid w:val="00B22F27"/>
    <w:rsid w:val="00B72FA9"/>
    <w:rsid w:val="00C2449D"/>
    <w:rsid w:val="00CB640D"/>
    <w:rsid w:val="00DA1797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7469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24</cp:revision>
  <cp:lastPrinted>2020-01-28T14:31:00Z</cp:lastPrinted>
  <dcterms:created xsi:type="dcterms:W3CDTF">2019-10-21T10:27:00Z</dcterms:created>
  <dcterms:modified xsi:type="dcterms:W3CDTF">2020-02-12T14:31:00Z</dcterms:modified>
</cp:coreProperties>
</file>