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jc w:val="center"/>
        <w:tblLayout w:type="fixed"/>
        <w:tblLook w:val="01E0" w:firstRow="1" w:lastRow="1" w:firstColumn="1" w:lastColumn="1" w:noHBand="0" w:noVBand="0"/>
      </w:tblPr>
      <w:tblGrid>
        <w:gridCol w:w="4177"/>
        <w:gridCol w:w="218"/>
        <w:gridCol w:w="991"/>
        <w:gridCol w:w="285"/>
        <w:gridCol w:w="4091"/>
        <w:gridCol w:w="19"/>
      </w:tblGrid>
      <w:tr w:rsidR="00B56A22" w:rsidRPr="004218C2" w:rsidTr="00C21FBA">
        <w:trPr>
          <w:gridAfter w:val="1"/>
          <w:wAfter w:w="19" w:type="dxa"/>
          <w:cantSplit/>
          <w:trHeight w:val="20"/>
          <w:jc w:val="center"/>
        </w:trPr>
        <w:tc>
          <w:tcPr>
            <w:tcW w:w="4177" w:type="dxa"/>
            <w:shd w:val="clear" w:color="auto" w:fill="auto"/>
          </w:tcPr>
          <w:p w:rsidR="00B56A22" w:rsidRPr="004218C2" w:rsidRDefault="00B56A22" w:rsidP="00D80EE7">
            <w:pPr>
              <w:widowControl w:val="0"/>
              <w:tabs>
                <w:tab w:val="left" w:pos="8447"/>
              </w:tabs>
              <w:autoSpaceDE w:val="0"/>
              <w:autoSpaceDN w:val="0"/>
              <w:adjustRightInd w:val="0"/>
              <w:spacing w:before="56"/>
              <w:jc w:val="right"/>
              <w:rPr>
                <w:sz w:val="28"/>
                <w:szCs w:val="28"/>
                <w:lang w:val="uk-UA"/>
              </w:rPr>
            </w:pPr>
          </w:p>
        </w:tc>
        <w:tc>
          <w:tcPr>
            <w:tcW w:w="1209" w:type="dxa"/>
            <w:gridSpan w:val="2"/>
            <w:shd w:val="clear" w:color="auto" w:fill="auto"/>
          </w:tcPr>
          <w:p w:rsidR="00B56A22" w:rsidRPr="004218C2" w:rsidRDefault="00B56A22" w:rsidP="00D80EE7">
            <w:pPr>
              <w:widowControl w:val="0"/>
              <w:tabs>
                <w:tab w:val="left" w:pos="8447"/>
              </w:tabs>
              <w:autoSpaceDE w:val="0"/>
              <w:autoSpaceDN w:val="0"/>
              <w:adjustRightInd w:val="0"/>
              <w:jc w:val="center"/>
              <w:rPr>
                <w:sz w:val="28"/>
                <w:szCs w:val="28"/>
                <w:lang w:val="uk-UA"/>
              </w:rPr>
            </w:pPr>
            <w:r w:rsidRPr="004218C2">
              <w:rPr>
                <w:noProof/>
                <w:sz w:val="28"/>
                <w:szCs w:val="28"/>
                <w:lang w:val="en-US" w:eastAsia="en-US"/>
              </w:rPr>
              <w:drawing>
                <wp:inline distT="0" distB="0" distL="0" distR="0" wp14:anchorId="5C89D4DB" wp14:editId="2EB7C73A">
                  <wp:extent cx="428625"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376" w:type="dxa"/>
            <w:gridSpan w:val="2"/>
            <w:shd w:val="clear" w:color="auto" w:fill="auto"/>
          </w:tcPr>
          <w:p w:rsidR="00B56A22" w:rsidRPr="004218C2" w:rsidRDefault="00B56A22" w:rsidP="00D80EE7">
            <w:pPr>
              <w:widowControl w:val="0"/>
              <w:tabs>
                <w:tab w:val="left" w:pos="8447"/>
              </w:tabs>
              <w:autoSpaceDE w:val="0"/>
              <w:autoSpaceDN w:val="0"/>
              <w:adjustRightInd w:val="0"/>
              <w:jc w:val="center"/>
              <w:rPr>
                <w:sz w:val="28"/>
                <w:szCs w:val="28"/>
                <w:lang w:val="uk-UA"/>
              </w:rPr>
            </w:pPr>
          </w:p>
        </w:tc>
      </w:tr>
      <w:tr w:rsidR="00B56A22" w:rsidRPr="004218C2" w:rsidTr="00C21FBA">
        <w:trPr>
          <w:gridAfter w:val="1"/>
          <w:wAfter w:w="19" w:type="dxa"/>
          <w:jc w:val="center"/>
        </w:trPr>
        <w:tc>
          <w:tcPr>
            <w:tcW w:w="4177" w:type="dxa"/>
            <w:shd w:val="clear" w:color="auto" w:fill="auto"/>
          </w:tcPr>
          <w:p w:rsidR="00B56A22" w:rsidRPr="004218C2" w:rsidRDefault="00B56A22" w:rsidP="00D80EE7">
            <w:pPr>
              <w:widowControl w:val="0"/>
              <w:tabs>
                <w:tab w:val="left" w:pos="8447"/>
              </w:tabs>
              <w:autoSpaceDE w:val="0"/>
              <w:autoSpaceDN w:val="0"/>
              <w:adjustRightInd w:val="0"/>
              <w:spacing w:before="56"/>
              <w:ind w:hanging="22"/>
              <w:rPr>
                <w:iCs/>
                <w:noProof/>
                <w:sz w:val="28"/>
                <w:szCs w:val="28"/>
                <w:lang w:val="uk-UA"/>
              </w:rPr>
            </w:pPr>
          </w:p>
        </w:tc>
        <w:tc>
          <w:tcPr>
            <w:tcW w:w="1209" w:type="dxa"/>
            <w:gridSpan w:val="2"/>
            <w:shd w:val="clear" w:color="auto" w:fill="auto"/>
          </w:tcPr>
          <w:p w:rsidR="00B56A22" w:rsidRPr="004218C2" w:rsidRDefault="00B56A22" w:rsidP="00D80EE7">
            <w:pPr>
              <w:widowControl w:val="0"/>
              <w:tabs>
                <w:tab w:val="left" w:pos="8447"/>
              </w:tabs>
              <w:autoSpaceDE w:val="0"/>
              <w:autoSpaceDN w:val="0"/>
              <w:adjustRightInd w:val="0"/>
              <w:jc w:val="center"/>
              <w:rPr>
                <w:i/>
                <w:iCs/>
                <w:noProof/>
                <w:sz w:val="28"/>
                <w:szCs w:val="28"/>
                <w:lang w:val="uk-UA"/>
              </w:rPr>
            </w:pPr>
          </w:p>
        </w:tc>
        <w:tc>
          <w:tcPr>
            <w:tcW w:w="4376" w:type="dxa"/>
            <w:gridSpan w:val="2"/>
            <w:shd w:val="clear" w:color="auto" w:fill="auto"/>
          </w:tcPr>
          <w:p w:rsidR="00B56A22" w:rsidRPr="004218C2" w:rsidRDefault="00B56A22" w:rsidP="00D80EE7">
            <w:pPr>
              <w:widowControl w:val="0"/>
              <w:tabs>
                <w:tab w:val="left" w:pos="8447"/>
              </w:tabs>
              <w:autoSpaceDE w:val="0"/>
              <w:autoSpaceDN w:val="0"/>
              <w:adjustRightInd w:val="0"/>
              <w:spacing w:before="56"/>
              <w:jc w:val="center"/>
              <w:rPr>
                <w:i/>
                <w:iCs/>
                <w:noProof/>
                <w:sz w:val="28"/>
                <w:szCs w:val="28"/>
                <w:lang w:val="uk-UA"/>
              </w:rPr>
            </w:pPr>
          </w:p>
        </w:tc>
      </w:tr>
      <w:tr w:rsidR="00B56A22" w:rsidRPr="004218C2" w:rsidTr="00C21FBA">
        <w:trPr>
          <w:gridAfter w:val="1"/>
          <w:wAfter w:w="19" w:type="dxa"/>
          <w:jc w:val="center"/>
        </w:trPr>
        <w:tc>
          <w:tcPr>
            <w:tcW w:w="9762" w:type="dxa"/>
            <w:gridSpan w:val="5"/>
            <w:shd w:val="clear" w:color="auto" w:fill="auto"/>
          </w:tcPr>
          <w:p w:rsidR="00B56A22" w:rsidRPr="00F85AC6" w:rsidRDefault="00B56A22" w:rsidP="00D80EE7">
            <w:pPr>
              <w:widowControl w:val="0"/>
              <w:tabs>
                <w:tab w:val="left" w:pos="8447"/>
              </w:tabs>
              <w:autoSpaceDE w:val="0"/>
              <w:autoSpaceDN w:val="0"/>
              <w:adjustRightInd w:val="0"/>
              <w:jc w:val="center"/>
              <w:rPr>
                <w:noProof/>
                <w:sz w:val="32"/>
                <w:szCs w:val="32"/>
                <w:lang w:val="uk-UA"/>
              </w:rPr>
            </w:pPr>
            <w:r w:rsidRPr="00F85AC6">
              <w:rPr>
                <w:sz w:val="32"/>
                <w:szCs w:val="32"/>
                <w:lang w:val="uk-UA"/>
              </w:rPr>
              <w:t xml:space="preserve">СУМСЬКА МІСЬКА ВІЙСЬКОВА АДМІНІСТРАЦІЯ </w:t>
            </w:r>
          </w:p>
          <w:p w:rsidR="00B56A22" w:rsidRPr="00F85AC6" w:rsidRDefault="00B56A22" w:rsidP="00D80EE7">
            <w:pPr>
              <w:jc w:val="center"/>
              <w:rPr>
                <w:sz w:val="32"/>
                <w:szCs w:val="32"/>
                <w:lang w:val="uk-UA"/>
              </w:rPr>
            </w:pPr>
            <w:r w:rsidRPr="00F85AC6">
              <w:rPr>
                <w:sz w:val="32"/>
                <w:szCs w:val="32"/>
                <w:lang w:val="uk-UA"/>
              </w:rPr>
              <w:t xml:space="preserve">СУМСЬКОГО РАЙОНУ СУМСЬКОЇ ОБЛАСТІ </w:t>
            </w:r>
          </w:p>
          <w:p w:rsidR="00B56A22" w:rsidRPr="00F85AC6" w:rsidRDefault="00B56A22" w:rsidP="00B56A22">
            <w:pPr>
              <w:pStyle w:val="a3"/>
              <w:outlineLvl w:val="0"/>
              <w:rPr>
                <w:b/>
                <w:sz w:val="32"/>
                <w:szCs w:val="32"/>
              </w:rPr>
            </w:pPr>
            <w:r w:rsidRPr="00F85AC6">
              <w:rPr>
                <w:b/>
                <w:spacing w:val="20"/>
                <w:sz w:val="32"/>
                <w:szCs w:val="32"/>
              </w:rPr>
              <w:t>НАКАЗ</w:t>
            </w:r>
            <w:r w:rsidRPr="00F85AC6">
              <w:rPr>
                <w:b/>
                <w:sz w:val="32"/>
                <w:szCs w:val="32"/>
              </w:rPr>
              <w:t xml:space="preserve"> </w:t>
            </w:r>
            <w:r w:rsidRPr="00F85AC6">
              <w:rPr>
                <w:i/>
                <w:iCs/>
                <w:noProof/>
                <w:sz w:val="32"/>
                <w:szCs w:val="32"/>
              </w:rPr>
              <w:t xml:space="preserve"> </w:t>
            </w:r>
          </w:p>
        </w:tc>
      </w:tr>
      <w:tr w:rsidR="00B56A22" w:rsidRPr="004218C2" w:rsidTr="00C21FBA">
        <w:trPr>
          <w:gridAfter w:val="1"/>
          <w:wAfter w:w="19" w:type="dxa"/>
          <w:jc w:val="center"/>
        </w:trPr>
        <w:tc>
          <w:tcPr>
            <w:tcW w:w="9762" w:type="dxa"/>
            <w:gridSpan w:val="5"/>
            <w:shd w:val="clear" w:color="auto" w:fill="auto"/>
          </w:tcPr>
          <w:p w:rsidR="00B56A22" w:rsidRPr="004218C2" w:rsidRDefault="00B56A22" w:rsidP="00D80EE7">
            <w:pPr>
              <w:widowControl w:val="0"/>
              <w:tabs>
                <w:tab w:val="left" w:pos="8447"/>
              </w:tabs>
              <w:autoSpaceDE w:val="0"/>
              <w:autoSpaceDN w:val="0"/>
              <w:adjustRightInd w:val="0"/>
              <w:spacing w:before="56"/>
              <w:rPr>
                <w:noProof/>
                <w:sz w:val="28"/>
                <w:szCs w:val="28"/>
                <w:lang w:val="uk-UA"/>
              </w:rPr>
            </w:pPr>
          </w:p>
        </w:tc>
      </w:tr>
      <w:tr w:rsidR="00B56A22" w:rsidRPr="004218C2" w:rsidTr="00C21FBA">
        <w:tblPrEx>
          <w:jc w:val="left"/>
        </w:tblPrEx>
        <w:trPr>
          <w:trHeight w:val="675"/>
        </w:trPr>
        <w:tc>
          <w:tcPr>
            <w:tcW w:w="4395" w:type="dxa"/>
            <w:gridSpan w:val="2"/>
            <w:shd w:val="clear" w:color="auto" w:fill="auto"/>
          </w:tcPr>
          <w:p w:rsidR="00B56A22" w:rsidRPr="004218C2" w:rsidRDefault="00252262" w:rsidP="00D80EE7">
            <w:pPr>
              <w:widowControl w:val="0"/>
              <w:autoSpaceDE w:val="0"/>
              <w:autoSpaceDN w:val="0"/>
              <w:adjustRightInd w:val="0"/>
              <w:jc w:val="both"/>
              <w:rPr>
                <w:sz w:val="28"/>
                <w:szCs w:val="28"/>
                <w:lang w:val="uk-UA"/>
              </w:rPr>
            </w:pPr>
            <w:r>
              <w:rPr>
                <w:sz w:val="28"/>
                <w:szCs w:val="28"/>
                <w:lang w:val="uk-UA"/>
              </w:rPr>
              <w:t>18.01.2024</w:t>
            </w:r>
          </w:p>
          <w:p w:rsidR="00B56A22" w:rsidRPr="004218C2" w:rsidRDefault="00B56A22" w:rsidP="00D80EE7">
            <w:pPr>
              <w:widowControl w:val="0"/>
              <w:tabs>
                <w:tab w:val="left" w:pos="8447"/>
              </w:tabs>
              <w:autoSpaceDE w:val="0"/>
              <w:autoSpaceDN w:val="0"/>
              <w:adjustRightInd w:val="0"/>
              <w:jc w:val="both"/>
              <w:rPr>
                <w:sz w:val="28"/>
                <w:szCs w:val="28"/>
                <w:lang w:val="uk-UA"/>
              </w:rPr>
            </w:pPr>
          </w:p>
        </w:tc>
        <w:tc>
          <w:tcPr>
            <w:tcW w:w="1276" w:type="dxa"/>
            <w:gridSpan w:val="2"/>
            <w:shd w:val="clear" w:color="auto" w:fill="auto"/>
          </w:tcPr>
          <w:p w:rsidR="00B56A22" w:rsidRPr="004218C2" w:rsidRDefault="00B56A22" w:rsidP="00D80EE7">
            <w:pPr>
              <w:widowControl w:val="0"/>
              <w:autoSpaceDE w:val="0"/>
              <w:autoSpaceDN w:val="0"/>
              <w:adjustRightInd w:val="0"/>
              <w:ind w:left="12"/>
              <w:jc w:val="both"/>
              <w:rPr>
                <w:sz w:val="28"/>
                <w:szCs w:val="28"/>
                <w:lang w:val="uk-UA"/>
              </w:rPr>
            </w:pPr>
            <w:r w:rsidRPr="004218C2">
              <w:rPr>
                <w:sz w:val="28"/>
                <w:szCs w:val="28"/>
                <w:lang w:val="uk-UA"/>
              </w:rPr>
              <w:t>м. Суми</w:t>
            </w:r>
          </w:p>
          <w:p w:rsidR="00B56A22" w:rsidRPr="004218C2" w:rsidRDefault="00B56A22" w:rsidP="00D80EE7">
            <w:pPr>
              <w:widowControl w:val="0"/>
              <w:tabs>
                <w:tab w:val="left" w:pos="8447"/>
              </w:tabs>
              <w:autoSpaceDE w:val="0"/>
              <w:autoSpaceDN w:val="0"/>
              <w:adjustRightInd w:val="0"/>
              <w:jc w:val="both"/>
              <w:rPr>
                <w:sz w:val="28"/>
                <w:szCs w:val="28"/>
                <w:lang w:val="uk-UA"/>
              </w:rPr>
            </w:pPr>
          </w:p>
        </w:tc>
        <w:tc>
          <w:tcPr>
            <w:tcW w:w="4110" w:type="dxa"/>
            <w:gridSpan w:val="2"/>
            <w:shd w:val="clear" w:color="auto" w:fill="auto"/>
          </w:tcPr>
          <w:p w:rsidR="00B56A22" w:rsidRPr="004218C2" w:rsidRDefault="00252262" w:rsidP="00D80EE7">
            <w:pPr>
              <w:widowControl w:val="0"/>
              <w:autoSpaceDE w:val="0"/>
              <w:autoSpaceDN w:val="0"/>
              <w:adjustRightInd w:val="0"/>
              <w:ind w:left="1449"/>
              <w:jc w:val="both"/>
              <w:rPr>
                <w:sz w:val="28"/>
                <w:szCs w:val="28"/>
                <w:lang w:val="uk-UA"/>
              </w:rPr>
            </w:pPr>
            <w:r>
              <w:rPr>
                <w:sz w:val="28"/>
                <w:szCs w:val="28"/>
                <w:lang w:val="uk-UA"/>
              </w:rPr>
              <w:t xml:space="preserve">     </w:t>
            </w:r>
            <w:r w:rsidR="00B56A22" w:rsidRPr="004218C2">
              <w:rPr>
                <w:sz w:val="28"/>
                <w:szCs w:val="28"/>
                <w:lang w:val="uk-UA"/>
              </w:rPr>
              <w:t xml:space="preserve">№ </w:t>
            </w:r>
            <w:r>
              <w:rPr>
                <w:sz w:val="28"/>
                <w:szCs w:val="28"/>
                <w:lang w:val="uk-UA"/>
              </w:rPr>
              <w:t xml:space="preserve">14 </w:t>
            </w:r>
            <w:r w:rsidR="00B56A22" w:rsidRPr="004218C2">
              <w:rPr>
                <w:sz w:val="28"/>
                <w:szCs w:val="28"/>
                <w:lang w:val="uk-UA"/>
              </w:rPr>
              <w:t>– СМР</w:t>
            </w:r>
          </w:p>
          <w:p w:rsidR="00B56A22" w:rsidRPr="004218C2" w:rsidRDefault="00B56A22" w:rsidP="00D80EE7">
            <w:pPr>
              <w:widowControl w:val="0"/>
              <w:tabs>
                <w:tab w:val="left" w:pos="8447"/>
              </w:tabs>
              <w:autoSpaceDE w:val="0"/>
              <w:autoSpaceDN w:val="0"/>
              <w:adjustRightInd w:val="0"/>
              <w:jc w:val="both"/>
              <w:rPr>
                <w:sz w:val="28"/>
                <w:szCs w:val="28"/>
                <w:lang w:val="uk-UA"/>
              </w:rPr>
            </w:pPr>
          </w:p>
        </w:tc>
      </w:tr>
      <w:tr w:rsidR="00B56A22" w:rsidRPr="004218C2" w:rsidTr="00C21FBA">
        <w:tblPrEx>
          <w:jc w:val="left"/>
        </w:tblPrEx>
        <w:trPr>
          <w:trHeight w:val="1170"/>
        </w:trPr>
        <w:tc>
          <w:tcPr>
            <w:tcW w:w="4395" w:type="dxa"/>
            <w:gridSpan w:val="2"/>
            <w:shd w:val="clear" w:color="auto" w:fill="auto"/>
          </w:tcPr>
          <w:p w:rsidR="00B56A22" w:rsidRPr="004218C2" w:rsidRDefault="00C21FBA" w:rsidP="00C21FBA">
            <w:pPr>
              <w:widowControl w:val="0"/>
              <w:tabs>
                <w:tab w:val="left" w:pos="8447"/>
              </w:tabs>
              <w:autoSpaceDE w:val="0"/>
              <w:autoSpaceDN w:val="0"/>
              <w:adjustRightInd w:val="0"/>
              <w:jc w:val="both"/>
              <w:rPr>
                <w:sz w:val="28"/>
                <w:szCs w:val="28"/>
                <w:lang w:val="uk-UA"/>
              </w:rPr>
            </w:pPr>
            <w:r w:rsidRPr="004218C2">
              <w:rPr>
                <w:sz w:val="28"/>
                <w:szCs w:val="28"/>
                <w:lang w:val="uk-UA"/>
              </w:rPr>
              <w:t>Про внесення змін до рішення Сумської міської ради від 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p>
          <w:p w:rsidR="00C21FBA" w:rsidRPr="004218C2" w:rsidRDefault="00C21FBA" w:rsidP="00C21FBA">
            <w:pPr>
              <w:widowControl w:val="0"/>
              <w:tabs>
                <w:tab w:val="left" w:pos="8447"/>
              </w:tabs>
              <w:autoSpaceDE w:val="0"/>
              <w:autoSpaceDN w:val="0"/>
              <w:adjustRightInd w:val="0"/>
              <w:jc w:val="both"/>
              <w:rPr>
                <w:sz w:val="28"/>
                <w:szCs w:val="28"/>
                <w:lang w:val="uk-UA"/>
              </w:rPr>
            </w:pPr>
          </w:p>
        </w:tc>
        <w:tc>
          <w:tcPr>
            <w:tcW w:w="5386" w:type="dxa"/>
            <w:gridSpan w:val="4"/>
            <w:shd w:val="clear" w:color="auto" w:fill="auto"/>
          </w:tcPr>
          <w:p w:rsidR="00B56A22" w:rsidRPr="004218C2" w:rsidRDefault="00B56A22" w:rsidP="00D80EE7">
            <w:pPr>
              <w:spacing w:after="160" w:line="259" w:lineRule="auto"/>
              <w:rPr>
                <w:sz w:val="28"/>
                <w:szCs w:val="28"/>
                <w:lang w:val="uk-UA"/>
              </w:rPr>
            </w:pPr>
          </w:p>
          <w:p w:rsidR="00B56A22" w:rsidRPr="004218C2" w:rsidRDefault="00B56A22" w:rsidP="00D80EE7">
            <w:pPr>
              <w:widowControl w:val="0"/>
              <w:tabs>
                <w:tab w:val="left" w:pos="8447"/>
              </w:tabs>
              <w:autoSpaceDE w:val="0"/>
              <w:autoSpaceDN w:val="0"/>
              <w:adjustRightInd w:val="0"/>
              <w:spacing w:before="56"/>
              <w:jc w:val="both"/>
              <w:rPr>
                <w:sz w:val="28"/>
                <w:szCs w:val="28"/>
                <w:lang w:val="uk-UA"/>
              </w:rPr>
            </w:pPr>
          </w:p>
        </w:tc>
      </w:tr>
      <w:tr w:rsidR="00AE0A9C" w:rsidRPr="004218C2" w:rsidTr="00C21FBA">
        <w:tblPrEx>
          <w:jc w:val="left"/>
        </w:tblPrEx>
        <w:trPr>
          <w:trHeight w:val="2636"/>
        </w:trPr>
        <w:tc>
          <w:tcPr>
            <w:tcW w:w="9781" w:type="dxa"/>
            <w:gridSpan w:val="6"/>
            <w:shd w:val="clear" w:color="auto" w:fill="auto"/>
          </w:tcPr>
          <w:p w:rsidR="00B56A22" w:rsidRPr="004218C2" w:rsidRDefault="00C21FBA" w:rsidP="00E7712C">
            <w:pPr>
              <w:pStyle w:val="rvps2"/>
              <w:shd w:val="clear" w:color="auto" w:fill="FFFFFF"/>
              <w:spacing w:before="0" w:beforeAutospacing="0" w:after="150" w:afterAutospacing="0"/>
              <w:ind w:firstLine="450"/>
              <w:jc w:val="both"/>
              <w:rPr>
                <w:iCs/>
                <w:sz w:val="28"/>
                <w:szCs w:val="28"/>
                <w:lang w:val="uk-UA"/>
              </w:rPr>
            </w:pPr>
            <w:r w:rsidRPr="004218C2">
              <w:rPr>
                <w:sz w:val="28"/>
                <w:szCs w:val="28"/>
                <w:lang w:val="uk-UA"/>
              </w:rPr>
              <w:t>З метою надання додаткових соціальних гарантій відповідно до програми  «Милосердя» на 2022-2024 роки, затвердженої рішенням Сумської міської ради</w:t>
            </w:r>
            <w:r w:rsidRPr="004218C2">
              <w:rPr>
                <w:b/>
                <w:sz w:val="28"/>
                <w:szCs w:val="28"/>
                <w:lang w:val="uk-UA"/>
              </w:rPr>
              <w:t xml:space="preserve"> </w:t>
            </w:r>
            <w:r w:rsidRPr="004218C2">
              <w:rPr>
                <w:sz w:val="28"/>
                <w:szCs w:val="28"/>
                <w:lang w:val="uk-UA"/>
              </w:rPr>
              <w:t xml:space="preserve">від 24 листопада 2021 року № 2272-МР (зі змінами), зокрема власникам знищених внаслідок війни об’єктів будівництва, ураховуючи </w:t>
            </w:r>
            <w:r w:rsidR="00831525" w:rsidRPr="004218C2">
              <w:rPr>
                <w:sz w:val="28"/>
                <w:szCs w:val="28"/>
                <w:lang w:val="uk-UA"/>
              </w:rPr>
              <w:t xml:space="preserve">п. 41 </w:t>
            </w:r>
            <w:r w:rsidRPr="004218C2">
              <w:rPr>
                <w:sz w:val="28"/>
                <w:szCs w:val="28"/>
                <w:lang w:val="uk-UA"/>
              </w:rPr>
              <w:t>протокол</w:t>
            </w:r>
            <w:r w:rsidR="00831525" w:rsidRPr="004218C2">
              <w:rPr>
                <w:sz w:val="28"/>
                <w:szCs w:val="28"/>
                <w:lang w:val="uk-UA"/>
              </w:rPr>
              <w:t>у</w:t>
            </w:r>
            <w:r w:rsidRPr="004218C2">
              <w:rPr>
                <w:sz w:val="28"/>
                <w:szCs w:val="28"/>
                <w:lang w:val="uk-UA"/>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w:t>
            </w:r>
            <w:r w:rsidR="00831525" w:rsidRPr="004218C2">
              <w:rPr>
                <w:sz w:val="28"/>
                <w:szCs w:val="28"/>
                <w:lang w:val="uk-UA"/>
              </w:rPr>
              <w:t xml:space="preserve">ітики Сумської міської ради № 56 від 08.11-10.11.2023 (зі змінами згідно з протоколом № 58 від 04.12.2023), </w:t>
            </w:r>
            <w:r w:rsidR="002752FF" w:rsidRPr="004218C2">
              <w:rPr>
                <w:iCs/>
                <w:sz w:val="28"/>
                <w:szCs w:val="28"/>
                <w:lang w:val="uk-UA"/>
              </w:rPr>
              <w:t xml:space="preserve">керуючись </w:t>
            </w:r>
            <w:r w:rsidR="00AE0A9C" w:rsidRPr="004218C2">
              <w:rPr>
                <w:iCs/>
                <w:sz w:val="28"/>
                <w:szCs w:val="28"/>
                <w:lang w:val="uk-UA"/>
              </w:rPr>
              <w:t xml:space="preserve">пунктами 5, 13 частини другої </w:t>
            </w:r>
            <w:r w:rsidR="002752FF" w:rsidRPr="004218C2">
              <w:rPr>
                <w:iCs/>
                <w:sz w:val="28"/>
                <w:szCs w:val="28"/>
                <w:lang w:val="uk-UA"/>
              </w:rPr>
              <w:t>та пунктом 8 частини шостої статті 15 Закону України «Про правовий режим воєнного стану»,</w:t>
            </w:r>
          </w:p>
          <w:p w:rsidR="00B56A22" w:rsidRPr="004218C2" w:rsidRDefault="00B56A22" w:rsidP="00D80EE7">
            <w:pPr>
              <w:widowControl w:val="0"/>
              <w:tabs>
                <w:tab w:val="left" w:pos="566"/>
              </w:tabs>
              <w:autoSpaceDE w:val="0"/>
              <w:autoSpaceDN w:val="0"/>
              <w:adjustRightInd w:val="0"/>
              <w:rPr>
                <w:bCs/>
                <w:sz w:val="28"/>
                <w:szCs w:val="28"/>
                <w:lang w:val="uk-UA"/>
              </w:rPr>
            </w:pPr>
            <w:r w:rsidRPr="004218C2">
              <w:rPr>
                <w:bCs/>
                <w:sz w:val="28"/>
                <w:szCs w:val="28"/>
                <w:lang w:val="uk-UA"/>
              </w:rPr>
              <w:t>НАКАЗУЮ:</w:t>
            </w:r>
          </w:p>
          <w:p w:rsidR="00B27679" w:rsidRPr="004218C2" w:rsidRDefault="00B27679" w:rsidP="00D80EE7">
            <w:pPr>
              <w:widowControl w:val="0"/>
              <w:tabs>
                <w:tab w:val="left" w:pos="566"/>
              </w:tabs>
              <w:autoSpaceDE w:val="0"/>
              <w:autoSpaceDN w:val="0"/>
              <w:adjustRightInd w:val="0"/>
              <w:rPr>
                <w:sz w:val="28"/>
                <w:szCs w:val="28"/>
                <w:lang w:val="uk-UA"/>
              </w:rPr>
            </w:pPr>
          </w:p>
          <w:p w:rsidR="00831525" w:rsidRPr="004218C2" w:rsidRDefault="00594AF7" w:rsidP="00831525">
            <w:pPr>
              <w:ind w:firstLine="708"/>
              <w:jc w:val="both"/>
              <w:rPr>
                <w:sz w:val="28"/>
                <w:szCs w:val="28"/>
                <w:lang w:val="uk-UA"/>
              </w:rPr>
            </w:pPr>
            <w:r w:rsidRPr="004218C2">
              <w:rPr>
                <w:sz w:val="28"/>
                <w:szCs w:val="28"/>
                <w:lang w:val="uk-UA"/>
              </w:rPr>
              <w:t xml:space="preserve">1. </w:t>
            </w:r>
            <w:r w:rsidR="00831525" w:rsidRPr="004218C2">
              <w:rPr>
                <w:sz w:val="28"/>
                <w:szCs w:val="28"/>
                <w:lang w:val="uk-UA"/>
              </w:rPr>
              <w:t>Внести зміни до рішення Сумської міської ради від 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 а саме: абзаци 1, 2 пункту 1.15 розділу 1 додатку 1 до рішення викласти в такій редакції:</w:t>
            </w:r>
          </w:p>
          <w:p w:rsidR="00831525" w:rsidRPr="004218C2" w:rsidRDefault="00831525" w:rsidP="00831525">
            <w:pPr>
              <w:ind w:firstLine="708"/>
              <w:jc w:val="both"/>
              <w:rPr>
                <w:sz w:val="28"/>
                <w:szCs w:val="28"/>
                <w:lang w:val="uk-UA"/>
              </w:rPr>
            </w:pPr>
            <w:r w:rsidRPr="004218C2">
              <w:rPr>
                <w:sz w:val="28"/>
                <w:szCs w:val="28"/>
                <w:lang w:val="uk-UA"/>
              </w:rPr>
              <w:t xml:space="preserve">«Надання матеріальної допомоги постраждалим </w:t>
            </w:r>
            <w:r w:rsidRPr="004218C2">
              <w:rPr>
                <w:bCs/>
                <w:sz w:val="28"/>
                <w:szCs w:val="28"/>
                <w:lang w:val="uk-UA" w:eastAsia="uk-UA"/>
              </w:rPr>
              <w:t>домогосподарствам, тобто тим, які розташовувались в будинках, що</w:t>
            </w:r>
            <w:r w:rsidRPr="004218C2">
              <w:rPr>
                <w:sz w:val="28"/>
                <w:szCs w:val="28"/>
                <w:lang w:val="uk-UA"/>
              </w:rPr>
              <w:t xml:space="preserve"> були зруйновані (частково зруйновані) та непридатні для проживання внаслідок війни (збройної агресії) російської федерації проти України, у тому числі знищеним </w:t>
            </w:r>
            <w:r w:rsidRPr="004218C2">
              <w:rPr>
                <w:sz w:val="28"/>
                <w:szCs w:val="28"/>
                <w:shd w:val="clear" w:color="auto" w:fill="FFFFFF"/>
                <w:lang w:val="uk-UA"/>
              </w:rPr>
              <w:t>об’єктам будівництва, в яких на момент знищення були зведені несучі та зовнішні огороджувальні конструкції (крім світлопрозорих конструкцій та заповнення дверних прорізів), щодо яких отримано право на виконання будівельних робіт</w:t>
            </w:r>
            <w:r w:rsidRPr="004218C2">
              <w:rPr>
                <w:sz w:val="28"/>
                <w:szCs w:val="28"/>
                <w:lang w:val="uk-UA"/>
              </w:rPr>
              <w:t xml:space="preserve"> </w:t>
            </w:r>
            <w:r w:rsidRPr="004218C2">
              <w:rPr>
                <w:sz w:val="28"/>
                <w:szCs w:val="28"/>
                <w:lang w:val="uk-UA"/>
              </w:rPr>
              <w:lastRenderedPageBreak/>
              <w:t>(застосовується до подій, які сталися внаслідок збройної агресії російської федерації до 01.07.2023), проводиться уповноваженому представнику постраждалого домогосподарства, незалежно від його зареєстрованого місця проживання, зокрема особі, кандидатура якої узгоджена іншими членами постраждалого домогосподарства і підтверджена власником житла (за наявності) (далі – уповноважений представник). Допустимими доказами підтвердження та/або узгодження зазначених обставин є відповідні заяви, надані особисто або надіслані власником житла (за його наявності) засобами електронного зв'язку.</w:t>
            </w:r>
          </w:p>
          <w:p w:rsidR="00336C6D" w:rsidRDefault="004218C2" w:rsidP="00831525">
            <w:pPr>
              <w:ind w:firstLine="708"/>
              <w:jc w:val="both"/>
              <w:rPr>
                <w:sz w:val="28"/>
                <w:szCs w:val="28"/>
                <w:lang w:val="uk-UA"/>
              </w:rPr>
            </w:pPr>
            <w:r w:rsidRPr="004218C2">
              <w:rPr>
                <w:sz w:val="28"/>
                <w:szCs w:val="28"/>
                <w:lang w:val="uk-UA"/>
              </w:rPr>
              <w:t>Підставою для виплати матеріальної допомоги постраждалим домогосподарствам</w:t>
            </w:r>
            <w:r w:rsidR="00336C6D">
              <w:rPr>
                <w:sz w:val="28"/>
                <w:szCs w:val="28"/>
                <w:lang w:val="uk-UA"/>
              </w:rPr>
              <w:t>:</w:t>
            </w:r>
          </w:p>
          <w:p w:rsidR="00336C6D" w:rsidRDefault="000A33FA" w:rsidP="00831525">
            <w:pPr>
              <w:ind w:firstLine="708"/>
              <w:jc w:val="both"/>
              <w:rPr>
                <w:sz w:val="28"/>
                <w:szCs w:val="28"/>
                <w:lang w:val="uk-UA"/>
              </w:rPr>
            </w:pPr>
            <w:r>
              <w:rPr>
                <w:sz w:val="28"/>
                <w:szCs w:val="28"/>
                <w:lang w:val="uk-UA"/>
              </w:rPr>
              <w:t>- що</w:t>
            </w:r>
            <w:r w:rsidR="004D36F6" w:rsidRPr="004218C2">
              <w:rPr>
                <w:bCs/>
                <w:sz w:val="28"/>
                <w:szCs w:val="28"/>
                <w:lang w:val="uk-UA" w:eastAsia="uk-UA"/>
              </w:rPr>
              <w:t xml:space="preserve"> розташовувалис</w:t>
            </w:r>
            <w:r>
              <w:rPr>
                <w:bCs/>
                <w:sz w:val="28"/>
                <w:szCs w:val="28"/>
                <w:lang w:val="uk-UA" w:eastAsia="uk-UA"/>
              </w:rPr>
              <w:t>я</w:t>
            </w:r>
            <w:r w:rsidR="004D36F6" w:rsidRPr="004218C2">
              <w:rPr>
                <w:bCs/>
                <w:sz w:val="28"/>
                <w:szCs w:val="28"/>
                <w:lang w:val="uk-UA" w:eastAsia="uk-UA"/>
              </w:rPr>
              <w:t xml:space="preserve"> в будинках</w:t>
            </w:r>
            <w:r>
              <w:rPr>
                <w:bCs/>
                <w:sz w:val="28"/>
                <w:szCs w:val="28"/>
                <w:lang w:val="uk-UA" w:eastAsia="uk-UA"/>
              </w:rPr>
              <w:t>,</w:t>
            </w:r>
            <w:r w:rsidR="00336C6D">
              <w:rPr>
                <w:bCs/>
                <w:sz w:val="28"/>
                <w:szCs w:val="28"/>
                <w:lang w:val="uk-UA" w:eastAsia="uk-UA"/>
              </w:rPr>
              <w:t xml:space="preserve"> право власності на які зареєстровано в установленому порядку</w:t>
            </w:r>
            <w:r w:rsidR="000811D2">
              <w:rPr>
                <w:bCs/>
                <w:sz w:val="28"/>
                <w:szCs w:val="28"/>
                <w:lang w:val="uk-UA" w:eastAsia="uk-UA"/>
              </w:rPr>
              <w:t>,</w:t>
            </w:r>
            <w:r w:rsidR="00336C6D">
              <w:rPr>
                <w:bCs/>
                <w:sz w:val="28"/>
                <w:szCs w:val="28"/>
                <w:lang w:val="uk-UA" w:eastAsia="uk-UA"/>
              </w:rPr>
              <w:t xml:space="preserve"> є </w:t>
            </w:r>
            <w:r w:rsidR="004218C2" w:rsidRPr="004218C2">
              <w:rPr>
                <w:sz w:val="28"/>
                <w:szCs w:val="28"/>
                <w:lang w:val="uk-UA"/>
              </w:rPr>
              <w:t xml:space="preserve">рішення Комісії з визначення розміру шкоди власникам (користувачам, зберігачам, володільцям тощо) знищених та пошкоджених об’єктів нерухомого майна на території Сумської міської територіальної громади внаслідок війни (збройної агресії) російської федерації проти України (далі - Комісія), оформлене протоколом засідання Комісії, який містить перелік адрес домогосподарств із зазначенням розміру допомоги, </w:t>
            </w:r>
            <w:r>
              <w:rPr>
                <w:sz w:val="28"/>
                <w:szCs w:val="28"/>
                <w:lang w:val="uk-UA"/>
              </w:rPr>
              <w:t>витяг з якого спрямовується до Д</w:t>
            </w:r>
            <w:r w:rsidR="004218C2" w:rsidRPr="004218C2">
              <w:rPr>
                <w:sz w:val="28"/>
                <w:szCs w:val="28"/>
                <w:lang w:val="uk-UA"/>
              </w:rPr>
              <w:t>епартаменту для проведення виплати</w:t>
            </w:r>
            <w:r w:rsidR="00336C6D">
              <w:rPr>
                <w:sz w:val="28"/>
                <w:szCs w:val="28"/>
                <w:lang w:val="uk-UA"/>
              </w:rPr>
              <w:t>;</w:t>
            </w:r>
            <w:r w:rsidR="006B0280">
              <w:rPr>
                <w:sz w:val="28"/>
                <w:szCs w:val="28"/>
                <w:lang w:val="uk-UA"/>
              </w:rPr>
              <w:t xml:space="preserve"> </w:t>
            </w:r>
          </w:p>
          <w:p w:rsidR="00470601" w:rsidRDefault="00336C6D" w:rsidP="00470601">
            <w:pPr>
              <w:ind w:firstLine="708"/>
              <w:jc w:val="both"/>
              <w:rPr>
                <w:sz w:val="28"/>
                <w:szCs w:val="28"/>
                <w:lang w:val="uk-UA"/>
              </w:rPr>
            </w:pPr>
            <w:r>
              <w:rPr>
                <w:sz w:val="28"/>
                <w:szCs w:val="28"/>
                <w:lang w:val="uk-UA"/>
              </w:rPr>
              <w:t xml:space="preserve">- </w:t>
            </w:r>
            <w:r w:rsidR="006B0280">
              <w:rPr>
                <w:sz w:val="28"/>
                <w:szCs w:val="28"/>
                <w:lang w:val="uk-UA"/>
              </w:rPr>
              <w:t xml:space="preserve">щодо </w:t>
            </w:r>
            <w:r w:rsidR="006B0280" w:rsidRPr="004218C2">
              <w:rPr>
                <w:sz w:val="28"/>
                <w:szCs w:val="28"/>
                <w:shd w:val="clear" w:color="auto" w:fill="FFFFFF"/>
                <w:lang w:val="uk-UA"/>
              </w:rPr>
              <w:t>об’єкт</w:t>
            </w:r>
            <w:r w:rsidR="006B0280">
              <w:rPr>
                <w:sz w:val="28"/>
                <w:szCs w:val="28"/>
                <w:shd w:val="clear" w:color="auto" w:fill="FFFFFF"/>
                <w:lang w:val="uk-UA"/>
              </w:rPr>
              <w:t>ів</w:t>
            </w:r>
            <w:r w:rsidR="006B0280" w:rsidRPr="004218C2">
              <w:rPr>
                <w:sz w:val="28"/>
                <w:szCs w:val="28"/>
                <w:shd w:val="clear" w:color="auto" w:fill="FFFFFF"/>
                <w:lang w:val="uk-UA"/>
              </w:rPr>
              <w:t xml:space="preserve"> будівництва, в яких на момент знищення були зведені несучі та зовнішні огороджувальні конструкції (крім світлопрозорих конструкцій та заповнення дверних прорізів), щодо яких отримано право на виконання будівельних робіт</w:t>
            </w:r>
            <w:r w:rsidR="006B0280">
              <w:rPr>
                <w:sz w:val="28"/>
                <w:szCs w:val="28"/>
                <w:shd w:val="clear" w:color="auto" w:fill="FFFFFF"/>
                <w:lang w:val="uk-UA"/>
              </w:rPr>
              <w:t xml:space="preserve">, </w:t>
            </w:r>
            <w:r w:rsidR="00831525" w:rsidRPr="004218C2">
              <w:rPr>
                <w:sz w:val="28"/>
                <w:szCs w:val="28"/>
                <w:lang w:val="uk-UA"/>
              </w:rPr>
              <w:t xml:space="preserve">є </w:t>
            </w:r>
            <w:r w:rsidR="006B0280">
              <w:rPr>
                <w:sz w:val="28"/>
                <w:szCs w:val="28"/>
                <w:lang w:val="uk-UA"/>
              </w:rPr>
              <w:t xml:space="preserve">рішення </w:t>
            </w:r>
            <w:r w:rsidR="00922BB9" w:rsidRPr="004218C2">
              <w:rPr>
                <w:sz w:val="28"/>
                <w:szCs w:val="28"/>
                <w:lang w:val="uk-UA"/>
              </w:rPr>
              <w:t>постійно</w:t>
            </w:r>
            <w:r w:rsidR="006B0280">
              <w:rPr>
                <w:sz w:val="28"/>
                <w:szCs w:val="28"/>
                <w:lang w:val="uk-UA"/>
              </w:rPr>
              <w:t>ї</w:t>
            </w:r>
            <w:r w:rsidR="00922BB9" w:rsidRPr="004218C2">
              <w:rPr>
                <w:sz w:val="28"/>
                <w:szCs w:val="28"/>
                <w:lang w:val="uk-UA"/>
              </w:rPr>
              <w:t xml:space="preserve"> комісі</w:t>
            </w:r>
            <w:r w:rsidR="006B0280">
              <w:rPr>
                <w:sz w:val="28"/>
                <w:szCs w:val="28"/>
                <w:lang w:val="uk-UA"/>
              </w:rPr>
              <w:t>ї</w:t>
            </w:r>
            <w:r w:rsidR="00922BB9" w:rsidRPr="004218C2">
              <w:rPr>
                <w:sz w:val="28"/>
                <w:szCs w:val="28"/>
                <w:lang w:val="uk-UA"/>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(далі – постійна комісія)</w:t>
            </w:r>
            <w:r w:rsidR="00470601">
              <w:rPr>
                <w:sz w:val="28"/>
                <w:szCs w:val="28"/>
                <w:lang w:val="uk-UA"/>
              </w:rPr>
              <w:t xml:space="preserve"> </w:t>
            </w:r>
            <w:r w:rsidR="00470601" w:rsidRPr="004218C2">
              <w:rPr>
                <w:sz w:val="28"/>
                <w:szCs w:val="28"/>
                <w:lang w:val="uk-UA"/>
              </w:rPr>
              <w:t xml:space="preserve">оформлене протоколом засідання </w:t>
            </w:r>
            <w:r w:rsidR="00470601">
              <w:rPr>
                <w:sz w:val="28"/>
                <w:szCs w:val="28"/>
                <w:lang w:val="uk-UA"/>
              </w:rPr>
              <w:t>постійної комісії</w:t>
            </w:r>
            <w:r w:rsidR="00470601" w:rsidRPr="004218C2">
              <w:rPr>
                <w:sz w:val="28"/>
                <w:szCs w:val="28"/>
                <w:lang w:val="uk-UA"/>
              </w:rPr>
              <w:t xml:space="preserve">, який містить перелік адрес домогосподарств із зазначенням розміру допомоги, </w:t>
            </w:r>
            <w:r w:rsidR="000A33FA">
              <w:rPr>
                <w:sz w:val="28"/>
                <w:szCs w:val="28"/>
                <w:lang w:val="uk-UA"/>
              </w:rPr>
              <w:t>витяг з якого спрямовується до Д</w:t>
            </w:r>
            <w:r w:rsidR="00470601" w:rsidRPr="004218C2">
              <w:rPr>
                <w:sz w:val="28"/>
                <w:szCs w:val="28"/>
                <w:lang w:val="uk-UA"/>
              </w:rPr>
              <w:t>епартаменту для проведення виплати</w:t>
            </w:r>
            <w:r w:rsidR="00470601">
              <w:rPr>
                <w:sz w:val="28"/>
                <w:szCs w:val="28"/>
                <w:lang w:val="uk-UA"/>
              </w:rPr>
              <w:t>.»</w:t>
            </w:r>
            <w:r w:rsidR="000A33FA">
              <w:rPr>
                <w:sz w:val="28"/>
                <w:szCs w:val="28"/>
                <w:lang w:val="uk-UA"/>
              </w:rPr>
              <w:t>.</w:t>
            </w:r>
          </w:p>
          <w:p w:rsidR="00470601" w:rsidRDefault="00594AF7" w:rsidP="00470601">
            <w:pPr>
              <w:widowControl w:val="0"/>
              <w:tabs>
                <w:tab w:val="left" w:pos="589"/>
              </w:tabs>
              <w:autoSpaceDE w:val="0"/>
              <w:autoSpaceDN w:val="0"/>
              <w:adjustRightInd w:val="0"/>
              <w:ind w:firstLine="604"/>
              <w:jc w:val="both"/>
              <w:rPr>
                <w:sz w:val="28"/>
                <w:szCs w:val="28"/>
                <w:lang w:val="uk-UA"/>
              </w:rPr>
            </w:pPr>
            <w:r w:rsidRPr="004218C2">
              <w:rPr>
                <w:sz w:val="28"/>
                <w:szCs w:val="28"/>
                <w:lang w:val="uk-UA"/>
              </w:rPr>
              <w:t xml:space="preserve">2. </w:t>
            </w:r>
            <w:r w:rsidR="00E8198C" w:rsidRPr="004218C2">
              <w:rPr>
                <w:sz w:val="28"/>
                <w:szCs w:val="28"/>
                <w:lang w:val="uk-UA"/>
              </w:rPr>
              <w:t>Наказ набирає чинності з дня його оприлюднення на офіційному веб-сайті Сумської міської ради.</w:t>
            </w:r>
          </w:p>
          <w:p w:rsidR="00E8198C" w:rsidRPr="004218C2" w:rsidRDefault="00E8198C" w:rsidP="00470601">
            <w:pPr>
              <w:widowControl w:val="0"/>
              <w:tabs>
                <w:tab w:val="left" w:pos="589"/>
              </w:tabs>
              <w:autoSpaceDE w:val="0"/>
              <w:autoSpaceDN w:val="0"/>
              <w:adjustRightInd w:val="0"/>
              <w:ind w:firstLine="604"/>
              <w:jc w:val="both"/>
              <w:rPr>
                <w:bCs/>
                <w:sz w:val="28"/>
                <w:szCs w:val="28"/>
                <w:lang w:val="uk-UA"/>
              </w:rPr>
            </w:pPr>
            <w:r w:rsidRPr="004218C2">
              <w:rPr>
                <w:sz w:val="28"/>
                <w:szCs w:val="28"/>
                <w:lang w:val="uk-UA"/>
              </w:rPr>
              <w:t xml:space="preserve">3. Організацію виконання цього наказу покласти на </w:t>
            </w:r>
            <w:r w:rsidR="000A33FA">
              <w:rPr>
                <w:sz w:val="28"/>
                <w:szCs w:val="28"/>
                <w:lang w:val="uk-UA"/>
              </w:rPr>
              <w:t>Д</w:t>
            </w:r>
            <w:r w:rsidRPr="004218C2">
              <w:rPr>
                <w:sz w:val="28"/>
                <w:szCs w:val="28"/>
                <w:lang w:val="uk-UA"/>
              </w:rPr>
              <w:t>епартамент соціального захисту населення Сумської міської ради, а координацію його виконання покласти на заступника міського голови з питань діяльності виконавчих органів ради Мотречко В.В.</w:t>
            </w:r>
          </w:p>
          <w:p w:rsidR="00600E8C" w:rsidRPr="004218C2" w:rsidRDefault="00600E8C" w:rsidP="00164A44">
            <w:pPr>
              <w:widowControl w:val="0"/>
              <w:tabs>
                <w:tab w:val="left" w:pos="604"/>
              </w:tabs>
              <w:autoSpaceDE w:val="0"/>
              <w:autoSpaceDN w:val="0"/>
              <w:adjustRightInd w:val="0"/>
              <w:ind w:firstLine="604"/>
              <w:jc w:val="both"/>
              <w:rPr>
                <w:sz w:val="28"/>
                <w:szCs w:val="28"/>
                <w:lang w:val="uk-UA"/>
              </w:rPr>
            </w:pPr>
          </w:p>
          <w:p w:rsidR="00600E8C" w:rsidRPr="004218C2" w:rsidRDefault="00600E8C" w:rsidP="00164A44">
            <w:pPr>
              <w:widowControl w:val="0"/>
              <w:tabs>
                <w:tab w:val="left" w:pos="604"/>
              </w:tabs>
              <w:autoSpaceDE w:val="0"/>
              <w:autoSpaceDN w:val="0"/>
              <w:adjustRightInd w:val="0"/>
              <w:ind w:firstLine="604"/>
              <w:jc w:val="both"/>
              <w:rPr>
                <w:sz w:val="28"/>
                <w:szCs w:val="28"/>
                <w:lang w:val="uk-UA"/>
              </w:rPr>
            </w:pPr>
          </w:p>
          <w:p w:rsidR="00600E8C" w:rsidRPr="004218C2" w:rsidRDefault="00600E8C" w:rsidP="00164A44">
            <w:pPr>
              <w:widowControl w:val="0"/>
              <w:tabs>
                <w:tab w:val="left" w:pos="604"/>
              </w:tabs>
              <w:autoSpaceDE w:val="0"/>
              <w:autoSpaceDN w:val="0"/>
              <w:adjustRightInd w:val="0"/>
              <w:ind w:firstLine="604"/>
              <w:jc w:val="both"/>
              <w:rPr>
                <w:sz w:val="28"/>
                <w:szCs w:val="28"/>
                <w:lang w:val="uk-UA"/>
              </w:rPr>
            </w:pPr>
          </w:p>
          <w:p w:rsidR="00600E8C" w:rsidRPr="004218C2" w:rsidRDefault="00600E8C" w:rsidP="00164A44">
            <w:pPr>
              <w:widowControl w:val="0"/>
              <w:tabs>
                <w:tab w:val="left" w:pos="604"/>
              </w:tabs>
              <w:autoSpaceDE w:val="0"/>
              <w:autoSpaceDN w:val="0"/>
              <w:adjustRightInd w:val="0"/>
              <w:ind w:firstLine="604"/>
              <w:jc w:val="both"/>
              <w:rPr>
                <w:sz w:val="28"/>
                <w:szCs w:val="28"/>
                <w:lang w:val="uk-UA"/>
              </w:rPr>
            </w:pPr>
          </w:p>
        </w:tc>
      </w:tr>
    </w:tbl>
    <w:p w:rsidR="00785A4D" w:rsidRPr="004218C2" w:rsidRDefault="00B56A22" w:rsidP="000A5402">
      <w:pPr>
        <w:pStyle w:val="a3"/>
        <w:jc w:val="both"/>
        <w:outlineLvl w:val="0"/>
        <w:rPr>
          <w:szCs w:val="28"/>
        </w:rPr>
      </w:pPr>
      <w:r w:rsidRPr="004218C2">
        <w:rPr>
          <w:szCs w:val="28"/>
        </w:rPr>
        <w:lastRenderedPageBreak/>
        <w:t xml:space="preserve">Начальник </w:t>
      </w:r>
      <w:r w:rsidRPr="004218C2">
        <w:rPr>
          <w:szCs w:val="28"/>
        </w:rPr>
        <w:tab/>
      </w:r>
      <w:r w:rsidRPr="004218C2">
        <w:rPr>
          <w:szCs w:val="28"/>
        </w:rPr>
        <w:tab/>
      </w:r>
      <w:r w:rsidRPr="004218C2">
        <w:rPr>
          <w:szCs w:val="28"/>
        </w:rPr>
        <w:tab/>
      </w:r>
      <w:r w:rsidRPr="004218C2">
        <w:rPr>
          <w:szCs w:val="28"/>
        </w:rPr>
        <w:tab/>
      </w:r>
      <w:r w:rsidRPr="004218C2">
        <w:rPr>
          <w:szCs w:val="28"/>
        </w:rPr>
        <w:tab/>
      </w:r>
      <w:r w:rsidRPr="004218C2">
        <w:rPr>
          <w:szCs w:val="28"/>
        </w:rPr>
        <w:tab/>
      </w:r>
      <w:r w:rsidRPr="004218C2">
        <w:rPr>
          <w:szCs w:val="28"/>
        </w:rPr>
        <w:tab/>
      </w:r>
      <w:r w:rsidRPr="004218C2">
        <w:rPr>
          <w:szCs w:val="28"/>
        </w:rPr>
        <w:tab/>
        <w:t>Олексій ДРОЗДЕНКО</w:t>
      </w:r>
      <w:bookmarkStart w:id="0" w:name="_GoBack"/>
      <w:bookmarkEnd w:id="0"/>
    </w:p>
    <w:sectPr w:rsidR="00785A4D" w:rsidRPr="00421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2E81"/>
    <w:multiLevelType w:val="multilevel"/>
    <w:tmpl w:val="9996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955BA"/>
    <w:multiLevelType w:val="multilevel"/>
    <w:tmpl w:val="1246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77CCA"/>
    <w:multiLevelType w:val="multilevel"/>
    <w:tmpl w:val="4AFA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F1554"/>
    <w:multiLevelType w:val="multilevel"/>
    <w:tmpl w:val="C358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D07E40"/>
    <w:multiLevelType w:val="multilevel"/>
    <w:tmpl w:val="4698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1C"/>
    <w:rsid w:val="000273FB"/>
    <w:rsid w:val="000373A9"/>
    <w:rsid w:val="000406BF"/>
    <w:rsid w:val="000811D2"/>
    <w:rsid w:val="000914BD"/>
    <w:rsid w:val="00095772"/>
    <w:rsid w:val="000A33FA"/>
    <w:rsid w:val="000A34D1"/>
    <w:rsid w:val="000A5402"/>
    <w:rsid w:val="00164A44"/>
    <w:rsid w:val="00165A1A"/>
    <w:rsid w:val="001775B6"/>
    <w:rsid w:val="001E7C72"/>
    <w:rsid w:val="002016E5"/>
    <w:rsid w:val="00252262"/>
    <w:rsid w:val="00255740"/>
    <w:rsid w:val="0026512C"/>
    <w:rsid w:val="002742F2"/>
    <w:rsid w:val="002752FF"/>
    <w:rsid w:val="002941FC"/>
    <w:rsid w:val="002974BE"/>
    <w:rsid w:val="00317ECF"/>
    <w:rsid w:val="00336C6D"/>
    <w:rsid w:val="003E2095"/>
    <w:rsid w:val="003F10D8"/>
    <w:rsid w:val="003F3A91"/>
    <w:rsid w:val="00401DA1"/>
    <w:rsid w:val="004218C2"/>
    <w:rsid w:val="00464EA8"/>
    <w:rsid w:val="00470601"/>
    <w:rsid w:val="004D36F6"/>
    <w:rsid w:val="005406C8"/>
    <w:rsid w:val="00546734"/>
    <w:rsid w:val="005538D2"/>
    <w:rsid w:val="0057038C"/>
    <w:rsid w:val="00594AF7"/>
    <w:rsid w:val="005A586A"/>
    <w:rsid w:val="00600E8C"/>
    <w:rsid w:val="00646075"/>
    <w:rsid w:val="00664EF2"/>
    <w:rsid w:val="006A3633"/>
    <w:rsid w:val="006B0280"/>
    <w:rsid w:val="006D2C51"/>
    <w:rsid w:val="007228AC"/>
    <w:rsid w:val="00726AA0"/>
    <w:rsid w:val="00785A4D"/>
    <w:rsid w:val="007C0E86"/>
    <w:rsid w:val="007C73B6"/>
    <w:rsid w:val="007E6EAD"/>
    <w:rsid w:val="00831525"/>
    <w:rsid w:val="00853E32"/>
    <w:rsid w:val="00853EFC"/>
    <w:rsid w:val="008D6AD7"/>
    <w:rsid w:val="008F77E5"/>
    <w:rsid w:val="00912489"/>
    <w:rsid w:val="00922BB9"/>
    <w:rsid w:val="0092308E"/>
    <w:rsid w:val="00941E16"/>
    <w:rsid w:val="0096371B"/>
    <w:rsid w:val="0097317D"/>
    <w:rsid w:val="00997E4A"/>
    <w:rsid w:val="009C128F"/>
    <w:rsid w:val="009C461C"/>
    <w:rsid w:val="00A60385"/>
    <w:rsid w:val="00A93F3D"/>
    <w:rsid w:val="00A969B2"/>
    <w:rsid w:val="00AE0A9C"/>
    <w:rsid w:val="00B13D7F"/>
    <w:rsid w:val="00B27679"/>
    <w:rsid w:val="00B56A22"/>
    <w:rsid w:val="00B80AD1"/>
    <w:rsid w:val="00B91541"/>
    <w:rsid w:val="00B94430"/>
    <w:rsid w:val="00BE1C6E"/>
    <w:rsid w:val="00C21FBA"/>
    <w:rsid w:val="00CC2D7C"/>
    <w:rsid w:val="00CD6638"/>
    <w:rsid w:val="00CE18EC"/>
    <w:rsid w:val="00D702DC"/>
    <w:rsid w:val="00DB16F4"/>
    <w:rsid w:val="00DE10DE"/>
    <w:rsid w:val="00DF6337"/>
    <w:rsid w:val="00E42595"/>
    <w:rsid w:val="00E44A07"/>
    <w:rsid w:val="00E47100"/>
    <w:rsid w:val="00E51521"/>
    <w:rsid w:val="00E7712C"/>
    <w:rsid w:val="00E8198C"/>
    <w:rsid w:val="00E8693E"/>
    <w:rsid w:val="00E925BF"/>
    <w:rsid w:val="00F12C23"/>
    <w:rsid w:val="00F4485D"/>
    <w:rsid w:val="00F47A9A"/>
    <w:rsid w:val="00F541D7"/>
    <w:rsid w:val="00F85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DE3E"/>
  <w15:docId w15:val="{B035A42E-DBCB-4ABE-AFA8-CC3E5BAA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A22"/>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semiHidden/>
    <w:unhideWhenUsed/>
    <w:qFormat/>
    <w:rsid w:val="009731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link w:val="50"/>
    <w:uiPriority w:val="9"/>
    <w:qFormat/>
    <w:rsid w:val="00F12C23"/>
    <w:pPr>
      <w:spacing w:before="100" w:beforeAutospacing="1" w:after="100" w:afterAutospacing="1"/>
      <w:outlineLvl w:val="4"/>
    </w:pPr>
    <w:rPr>
      <w:rFonts w:eastAsia="Times New Roman"/>
      <w:b/>
      <w:b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56A22"/>
    <w:pPr>
      <w:jc w:val="center"/>
    </w:pPr>
    <w:rPr>
      <w:rFonts w:eastAsia="Times New Roman"/>
      <w:sz w:val="28"/>
      <w:szCs w:val="20"/>
      <w:lang w:val="uk-UA"/>
    </w:rPr>
  </w:style>
  <w:style w:type="paragraph" w:styleId="a4">
    <w:name w:val="List Paragraph"/>
    <w:basedOn w:val="a"/>
    <w:uiPriority w:val="34"/>
    <w:qFormat/>
    <w:rsid w:val="00594AF7"/>
    <w:pPr>
      <w:ind w:left="720"/>
      <w:contextualSpacing/>
    </w:pPr>
  </w:style>
  <w:style w:type="paragraph" w:styleId="a5">
    <w:name w:val="Balloon Text"/>
    <w:basedOn w:val="a"/>
    <w:link w:val="a6"/>
    <w:uiPriority w:val="99"/>
    <w:semiHidden/>
    <w:unhideWhenUsed/>
    <w:rsid w:val="00E47100"/>
    <w:rPr>
      <w:rFonts w:ascii="Segoe UI" w:hAnsi="Segoe UI" w:cs="Segoe UI"/>
      <w:sz w:val="18"/>
      <w:szCs w:val="18"/>
    </w:rPr>
  </w:style>
  <w:style w:type="character" w:customStyle="1" w:styleId="a6">
    <w:name w:val="Текст выноски Знак"/>
    <w:basedOn w:val="a0"/>
    <w:link w:val="a5"/>
    <w:uiPriority w:val="99"/>
    <w:semiHidden/>
    <w:rsid w:val="00E47100"/>
    <w:rPr>
      <w:rFonts w:ascii="Segoe UI" w:eastAsia="Calibri" w:hAnsi="Segoe UI" w:cs="Segoe UI"/>
      <w:sz w:val="18"/>
      <w:szCs w:val="18"/>
      <w:lang w:eastAsia="ru-RU"/>
    </w:rPr>
  </w:style>
  <w:style w:type="paragraph" w:customStyle="1" w:styleId="rvps2">
    <w:name w:val="rvps2"/>
    <w:basedOn w:val="a"/>
    <w:rsid w:val="00997E4A"/>
    <w:pPr>
      <w:spacing w:before="100" w:beforeAutospacing="1" w:after="100" w:afterAutospacing="1"/>
    </w:pPr>
    <w:rPr>
      <w:rFonts w:eastAsia="Times New Roman"/>
      <w:lang w:val="en-US" w:eastAsia="en-US"/>
    </w:rPr>
  </w:style>
  <w:style w:type="character" w:customStyle="1" w:styleId="rvts9">
    <w:name w:val="rvts9"/>
    <w:basedOn w:val="a0"/>
    <w:rsid w:val="00997E4A"/>
  </w:style>
  <w:style w:type="paragraph" w:styleId="a7">
    <w:name w:val="No Spacing"/>
    <w:uiPriority w:val="1"/>
    <w:qFormat/>
    <w:rsid w:val="00255740"/>
    <w:pPr>
      <w:spacing w:after="0" w:line="240" w:lineRule="auto"/>
    </w:pPr>
    <w:rPr>
      <w:rFonts w:ascii="Calibri" w:eastAsia="Calibri" w:hAnsi="Calibri" w:cs="Times New Roman"/>
    </w:rPr>
  </w:style>
  <w:style w:type="character" w:styleId="a8">
    <w:name w:val="Hyperlink"/>
    <w:basedOn w:val="a0"/>
    <w:uiPriority w:val="99"/>
    <w:unhideWhenUsed/>
    <w:rsid w:val="00255740"/>
    <w:rPr>
      <w:color w:val="0563C1" w:themeColor="hyperlink"/>
      <w:u w:val="single"/>
    </w:rPr>
  </w:style>
  <w:style w:type="paragraph" w:styleId="a9">
    <w:name w:val="Normal (Web)"/>
    <w:basedOn w:val="a"/>
    <w:uiPriority w:val="99"/>
    <w:unhideWhenUsed/>
    <w:rsid w:val="00255740"/>
    <w:pPr>
      <w:spacing w:before="100" w:beforeAutospacing="1" w:after="100" w:afterAutospacing="1"/>
    </w:pPr>
    <w:rPr>
      <w:rFonts w:eastAsia="Times New Roman"/>
      <w:lang w:val="en-US" w:eastAsia="en-US"/>
    </w:rPr>
  </w:style>
  <w:style w:type="character" w:customStyle="1" w:styleId="50">
    <w:name w:val="Заголовок 5 Знак"/>
    <w:basedOn w:val="a0"/>
    <w:link w:val="5"/>
    <w:uiPriority w:val="9"/>
    <w:rsid w:val="00F12C23"/>
    <w:rPr>
      <w:rFonts w:ascii="Times New Roman" w:eastAsia="Times New Roman" w:hAnsi="Times New Roman" w:cs="Times New Roman"/>
      <w:b/>
      <w:bCs/>
      <w:sz w:val="20"/>
      <w:szCs w:val="20"/>
      <w:lang w:val="en-US"/>
    </w:rPr>
  </w:style>
  <w:style w:type="character" w:styleId="aa">
    <w:name w:val="Strong"/>
    <w:basedOn w:val="a0"/>
    <w:uiPriority w:val="22"/>
    <w:qFormat/>
    <w:rsid w:val="00F12C23"/>
    <w:rPr>
      <w:b/>
      <w:bCs/>
    </w:rPr>
  </w:style>
  <w:style w:type="character" w:customStyle="1" w:styleId="20">
    <w:name w:val="Заголовок 2 Знак"/>
    <w:basedOn w:val="a0"/>
    <w:link w:val="2"/>
    <w:uiPriority w:val="9"/>
    <w:semiHidden/>
    <w:rsid w:val="0097317D"/>
    <w:rPr>
      <w:rFonts w:asciiTheme="majorHAnsi" w:eastAsiaTheme="majorEastAsia" w:hAnsiTheme="majorHAnsi" w:cstheme="majorBidi"/>
      <w:color w:val="2E74B5" w:themeColor="accent1" w:themeShade="BF"/>
      <w:sz w:val="26"/>
      <w:szCs w:val="26"/>
      <w:lang w:eastAsia="ru-RU"/>
    </w:rPr>
  </w:style>
  <w:style w:type="table" w:styleId="ab">
    <w:name w:val="Table Grid"/>
    <w:basedOn w:val="a1"/>
    <w:uiPriority w:val="39"/>
    <w:rsid w:val="008D6A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8D6AD7"/>
    <w:pPr>
      <w:spacing w:after="160" w:line="259" w:lineRule="auto"/>
      <w:ind w:left="720"/>
    </w:pPr>
    <w:rPr>
      <w:rFonts w:ascii="Calibri" w:eastAsia="Times New Roman"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30973">
      <w:bodyDiv w:val="1"/>
      <w:marLeft w:val="0"/>
      <w:marRight w:val="0"/>
      <w:marTop w:val="0"/>
      <w:marBottom w:val="0"/>
      <w:divBdr>
        <w:top w:val="none" w:sz="0" w:space="0" w:color="auto"/>
        <w:left w:val="none" w:sz="0" w:space="0" w:color="auto"/>
        <w:bottom w:val="none" w:sz="0" w:space="0" w:color="auto"/>
        <w:right w:val="none" w:sz="0" w:space="0" w:color="auto"/>
      </w:divBdr>
    </w:div>
    <w:div w:id="252859753">
      <w:bodyDiv w:val="1"/>
      <w:marLeft w:val="0"/>
      <w:marRight w:val="0"/>
      <w:marTop w:val="0"/>
      <w:marBottom w:val="0"/>
      <w:divBdr>
        <w:top w:val="none" w:sz="0" w:space="0" w:color="auto"/>
        <w:left w:val="none" w:sz="0" w:space="0" w:color="auto"/>
        <w:bottom w:val="none" w:sz="0" w:space="0" w:color="auto"/>
        <w:right w:val="none" w:sz="0" w:space="0" w:color="auto"/>
      </w:divBdr>
    </w:div>
    <w:div w:id="648217087">
      <w:bodyDiv w:val="1"/>
      <w:marLeft w:val="0"/>
      <w:marRight w:val="0"/>
      <w:marTop w:val="0"/>
      <w:marBottom w:val="0"/>
      <w:divBdr>
        <w:top w:val="none" w:sz="0" w:space="0" w:color="auto"/>
        <w:left w:val="none" w:sz="0" w:space="0" w:color="auto"/>
        <w:bottom w:val="none" w:sz="0" w:space="0" w:color="auto"/>
        <w:right w:val="none" w:sz="0" w:space="0" w:color="auto"/>
      </w:divBdr>
    </w:div>
    <w:div w:id="710348917">
      <w:bodyDiv w:val="1"/>
      <w:marLeft w:val="0"/>
      <w:marRight w:val="0"/>
      <w:marTop w:val="0"/>
      <w:marBottom w:val="0"/>
      <w:divBdr>
        <w:top w:val="none" w:sz="0" w:space="0" w:color="auto"/>
        <w:left w:val="none" w:sz="0" w:space="0" w:color="auto"/>
        <w:bottom w:val="none" w:sz="0" w:space="0" w:color="auto"/>
        <w:right w:val="none" w:sz="0" w:space="0" w:color="auto"/>
      </w:divBdr>
    </w:div>
    <w:div w:id="1057775721">
      <w:bodyDiv w:val="1"/>
      <w:marLeft w:val="0"/>
      <w:marRight w:val="0"/>
      <w:marTop w:val="0"/>
      <w:marBottom w:val="0"/>
      <w:divBdr>
        <w:top w:val="none" w:sz="0" w:space="0" w:color="auto"/>
        <w:left w:val="none" w:sz="0" w:space="0" w:color="auto"/>
        <w:bottom w:val="none" w:sz="0" w:space="0" w:color="auto"/>
        <w:right w:val="none" w:sz="0" w:space="0" w:color="auto"/>
      </w:divBdr>
    </w:div>
    <w:div w:id="1636256892">
      <w:bodyDiv w:val="1"/>
      <w:marLeft w:val="0"/>
      <w:marRight w:val="0"/>
      <w:marTop w:val="0"/>
      <w:marBottom w:val="0"/>
      <w:divBdr>
        <w:top w:val="none" w:sz="0" w:space="0" w:color="auto"/>
        <w:left w:val="none" w:sz="0" w:space="0" w:color="auto"/>
        <w:bottom w:val="none" w:sz="0" w:space="0" w:color="auto"/>
        <w:right w:val="none" w:sz="0" w:space="0" w:color="auto"/>
      </w:divBdr>
    </w:div>
    <w:div w:id="1652715868">
      <w:bodyDiv w:val="1"/>
      <w:marLeft w:val="0"/>
      <w:marRight w:val="0"/>
      <w:marTop w:val="0"/>
      <w:marBottom w:val="0"/>
      <w:divBdr>
        <w:top w:val="none" w:sz="0" w:space="0" w:color="auto"/>
        <w:left w:val="none" w:sz="0" w:space="0" w:color="auto"/>
        <w:bottom w:val="none" w:sz="0" w:space="0" w:color="auto"/>
        <w:right w:val="none" w:sz="0" w:space="0" w:color="auto"/>
      </w:divBdr>
    </w:div>
    <w:div w:id="1746804219">
      <w:bodyDiv w:val="1"/>
      <w:marLeft w:val="0"/>
      <w:marRight w:val="0"/>
      <w:marTop w:val="0"/>
      <w:marBottom w:val="0"/>
      <w:divBdr>
        <w:top w:val="none" w:sz="0" w:space="0" w:color="auto"/>
        <w:left w:val="none" w:sz="0" w:space="0" w:color="auto"/>
        <w:bottom w:val="none" w:sz="0" w:space="0" w:color="auto"/>
        <w:right w:val="none" w:sz="0" w:space="0" w:color="auto"/>
      </w:divBdr>
    </w:div>
    <w:div w:id="18340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94637-3D29-4052-8EA8-A947BAEB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Цуканова Олена Олегівна</dc:creator>
  <cp:keywords/>
  <dc:description/>
  <cp:lastModifiedBy>Волобуєва Оксана Володимирівна</cp:lastModifiedBy>
  <cp:revision>3</cp:revision>
  <cp:lastPrinted>2024-01-02T12:09:00Z</cp:lastPrinted>
  <dcterms:created xsi:type="dcterms:W3CDTF">2024-01-18T13:54:00Z</dcterms:created>
  <dcterms:modified xsi:type="dcterms:W3CDTF">2024-01-18T13:55:00Z</dcterms:modified>
</cp:coreProperties>
</file>